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BBFA" w14:textId="79DC500D" w:rsidR="00DD6B82" w:rsidRDefault="00DD6B82" w:rsidP="00DD6B82">
      <w:pPr>
        <w:spacing w:after="480"/>
      </w:pPr>
      <w:r>
        <w:rPr>
          <w:noProof/>
        </w:rPr>
        <w:drawing>
          <wp:inline distT="0" distB="0" distL="0" distR="0" wp14:anchorId="6537F867" wp14:editId="2F4174F7">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9111" w:type="dxa"/>
        <w:tblLook w:val="0000" w:firstRow="0" w:lastRow="0" w:firstColumn="0" w:lastColumn="0" w:noHBand="0" w:noVBand="0"/>
        <w:tblCaption w:val="Cabinet report summary details"/>
      </w:tblPr>
      <w:tblGrid>
        <w:gridCol w:w="3700"/>
        <w:gridCol w:w="5411"/>
      </w:tblGrid>
      <w:tr w:rsidR="00DD6B82" w14:paraId="35C7EC33" w14:textId="77777777" w:rsidTr="00DD6B82">
        <w:trPr>
          <w:trHeight w:val="691"/>
          <w:tblHeader/>
        </w:trPr>
        <w:tc>
          <w:tcPr>
            <w:tcW w:w="3700" w:type="dxa"/>
            <w:tcBorders>
              <w:bottom w:val="single" w:sz="18" w:space="0" w:color="auto"/>
            </w:tcBorders>
          </w:tcPr>
          <w:p w14:paraId="25BA5671" w14:textId="77777777" w:rsidR="00DD6B82" w:rsidRPr="00B805DB" w:rsidRDefault="00DD6B82" w:rsidP="0042671C">
            <w:pPr>
              <w:pStyle w:val="Heading1"/>
              <w:spacing w:after="240"/>
              <w:outlineLvl w:val="0"/>
            </w:pPr>
            <w:r>
              <w:t>Report f</w:t>
            </w:r>
            <w:r w:rsidRPr="00C869F3">
              <w:t>or:</w:t>
            </w:r>
          </w:p>
        </w:tc>
        <w:tc>
          <w:tcPr>
            <w:tcW w:w="5411" w:type="dxa"/>
            <w:tcBorders>
              <w:bottom w:val="single" w:sz="18" w:space="0" w:color="auto"/>
            </w:tcBorders>
          </w:tcPr>
          <w:p w14:paraId="7892E0D3" w14:textId="77777777" w:rsidR="00DD6B82" w:rsidRPr="005E3A10" w:rsidRDefault="00DD6B82" w:rsidP="0042671C">
            <w:pPr>
              <w:pStyle w:val="Heading1"/>
              <w:outlineLvl w:val="0"/>
              <w:rPr>
                <w:szCs w:val="24"/>
              </w:rPr>
            </w:pPr>
            <w:r w:rsidRPr="005E3A10">
              <w:t>Cabinet</w:t>
            </w:r>
          </w:p>
        </w:tc>
      </w:tr>
      <w:tr w:rsidR="00DD6B82" w14:paraId="1C041F2C" w14:textId="77777777" w:rsidTr="00DD6B82">
        <w:trPr>
          <w:trHeight w:val="627"/>
        </w:trPr>
        <w:tc>
          <w:tcPr>
            <w:tcW w:w="3700" w:type="dxa"/>
            <w:tcBorders>
              <w:top w:val="single" w:sz="18" w:space="0" w:color="auto"/>
            </w:tcBorders>
          </w:tcPr>
          <w:p w14:paraId="51BD2995" w14:textId="77777777" w:rsidR="00DD6B82" w:rsidRPr="00C13A5F" w:rsidRDefault="00DD6B82" w:rsidP="0042671C">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411" w:type="dxa"/>
            <w:tcBorders>
              <w:top w:val="single" w:sz="18" w:space="0" w:color="auto"/>
            </w:tcBorders>
          </w:tcPr>
          <w:p w14:paraId="60F116CA" w14:textId="1051B693" w:rsidR="00DD6B82" w:rsidRPr="005E3A10" w:rsidRDefault="00DD6B82" w:rsidP="0042671C">
            <w:pPr>
              <w:rPr>
                <w:rFonts w:cs="Arial"/>
                <w:szCs w:val="24"/>
              </w:rPr>
            </w:pPr>
            <w:r>
              <w:rPr>
                <w:rFonts w:cs="Arial"/>
                <w:szCs w:val="24"/>
              </w:rPr>
              <w:t>18 July 2022</w:t>
            </w:r>
          </w:p>
        </w:tc>
      </w:tr>
      <w:tr w:rsidR="00DD6B82" w14:paraId="30D17AFD" w14:textId="77777777" w:rsidTr="00DD6B82">
        <w:trPr>
          <w:trHeight w:val="841"/>
        </w:trPr>
        <w:tc>
          <w:tcPr>
            <w:tcW w:w="3700" w:type="dxa"/>
          </w:tcPr>
          <w:p w14:paraId="652CA204" w14:textId="77777777" w:rsidR="00DD6B82" w:rsidRPr="00C13A5F" w:rsidRDefault="00DD6B82" w:rsidP="0042671C">
            <w:pPr>
              <w:pStyle w:val="Infotext"/>
              <w:spacing w:after="240"/>
              <w:rPr>
                <w:rFonts w:ascii="Arial Black" w:hAnsi="Arial Black"/>
              </w:rPr>
            </w:pPr>
            <w:r w:rsidRPr="00C13A5F">
              <w:rPr>
                <w:rFonts w:ascii="Arial Black" w:hAnsi="Arial Black" w:cs="Arial"/>
              </w:rPr>
              <w:t>Subject:</w:t>
            </w:r>
          </w:p>
        </w:tc>
        <w:tc>
          <w:tcPr>
            <w:tcW w:w="5411" w:type="dxa"/>
          </w:tcPr>
          <w:p w14:paraId="29D5ED1C" w14:textId="21E914E1" w:rsidR="00DD6B82" w:rsidRDefault="00DD6B82" w:rsidP="00DD6B82">
            <w:pPr>
              <w:rPr>
                <w:rFonts w:cs="Arial"/>
                <w:szCs w:val="24"/>
              </w:rPr>
            </w:pPr>
            <w:r>
              <w:rPr>
                <w:rFonts w:cs="Arial"/>
                <w:szCs w:val="24"/>
              </w:rPr>
              <w:t xml:space="preserve">Treasury Management Annual Report and </w:t>
            </w:r>
            <w:r>
              <w:rPr>
                <w:rFonts w:cs="Arial"/>
                <w:szCs w:val="24"/>
              </w:rPr>
              <w:t>O</w:t>
            </w:r>
            <w:r>
              <w:rPr>
                <w:rFonts w:cs="Arial"/>
                <w:szCs w:val="24"/>
              </w:rPr>
              <w:t>utturn 2021/22</w:t>
            </w:r>
          </w:p>
          <w:p w14:paraId="7C5054C8" w14:textId="77777777" w:rsidR="00DD6B82" w:rsidRPr="005E3A10" w:rsidRDefault="00DD6B82" w:rsidP="0042671C">
            <w:pPr>
              <w:rPr>
                <w:rFonts w:cs="Arial"/>
                <w:szCs w:val="24"/>
              </w:rPr>
            </w:pPr>
          </w:p>
        </w:tc>
      </w:tr>
      <w:tr w:rsidR="00DD6B82" w14:paraId="17FB97EF" w14:textId="77777777" w:rsidTr="00DD6B82">
        <w:trPr>
          <w:trHeight w:val="627"/>
        </w:trPr>
        <w:tc>
          <w:tcPr>
            <w:tcW w:w="3700" w:type="dxa"/>
          </w:tcPr>
          <w:p w14:paraId="6F67F8F9"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Key Decision:</w:t>
            </w:r>
          </w:p>
        </w:tc>
        <w:tc>
          <w:tcPr>
            <w:tcW w:w="5411" w:type="dxa"/>
          </w:tcPr>
          <w:p w14:paraId="02C76A16" w14:textId="0EF61E7F" w:rsidR="00DD6B82" w:rsidRPr="005E3A10" w:rsidRDefault="00DD6B82" w:rsidP="0042671C">
            <w:pPr>
              <w:pStyle w:val="Infotext"/>
              <w:rPr>
                <w:rFonts w:cs="Arial"/>
                <w:sz w:val="24"/>
                <w:szCs w:val="24"/>
              </w:rPr>
            </w:pPr>
            <w:r w:rsidRPr="005E3A10">
              <w:rPr>
                <w:rFonts w:cs="Arial"/>
                <w:sz w:val="24"/>
                <w:szCs w:val="24"/>
              </w:rPr>
              <w:t>No</w:t>
            </w:r>
          </w:p>
          <w:p w14:paraId="69D7D462" w14:textId="77777777" w:rsidR="00DD6B82" w:rsidRPr="005E3A10" w:rsidRDefault="00DD6B82" w:rsidP="00DD6B82">
            <w:pPr>
              <w:pStyle w:val="Infotext"/>
              <w:rPr>
                <w:rFonts w:cs="Arial"/>
                <w:szCs w:val="24"/>
              </w:rPr>
            </w:pPr>
          </w:p>
        </w:tc>
      </w:tr>
      <w:tr w:rsidR="00DD6B82" w14:paraId="0931069D" w14:textId="77777777" w:rsidTr="00DD6B82">
        <w:trPr>
          <w:trHeight w:val="828"/>
        </w:trPr>
        <w:tc>
          <w:tcPr>
            <w:tcW w:w="3700" w:type="dxa"/>
          </w:tcPr>
          <w:p w14:paraId="2A00679E"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Responsible Officer:</w:t>
            </w:r>
          </w:p>
        </w:tc>
        <w:tc>
          <w:tcPr>
            <w:tcW w:w="5411" w:type="dxa"/>
          </w:tcPr>
          <w:p w14:paraId="00B9D6BF" w14:textId="7BB6C36E" w:rsidR="00DD6B82" w:rsidRPr="005E3A10" w:rsidRDefault="00DD6B82" w:rsidP="00DD6B82">
            <w:pPr>
              <w:pStyle w:val="Infotext"/>
              <w:rPr>
                <w:rFonts w:cs="Arial"/>
                <w:sz w:val="24"/>
                <w:szCs w:val="24"/>
              </w:rPr>
            </w:pPr>
            <w:r w:rsidRPr="005641E0">
              <w:rPr>
                <w:rFonts w:cs="Arial"/>
                <w:sz w:val="24"/>
                <w:szCs w:val="24"/>
              </w:rPr>
              <w:t>Dawn Calvert</w:t>
            </w:r>
            <w:r>
              <w:rPr>
                <w:rFonts w:cs="Arial"/>
                <w:sz w:val="24"/>
                <w:szCs w:val="24"/>
              </w:rPr>
              <w:t xml:space="preserve"> - </w:t>
            </w:r>
            <w:r w:rsidRPr="005641E0">
              <w:rPr>
                <w:rFonts w:cs="Arial"/>
                <w:sz w:val="24"/>
                <w:szCs w:val="24"/>
              </w:rPr>
              <w:t>Director of Finance</w:t>
            </w:r>
            <w:r>
              <w:rPr>
                <w:rFonts w:cs="Arial"/>
                <w:sz w:val="24"/>
                <w:szCs w:val="24"/>
              </w:rPr>
              <w:t xml:space="preserve"> and Assurance</w:t>
            </w:r>
          </w:p>
          <w:p w14:paraId="02762333" w14:textId="77777777" w:rsidR="00DD6B82" w:rsidRPr="005E3A10" w:rsidRDefault="00DD6B82" w:rsidP="0042671C">
            <w:pPr>
              <w:pStyle w:val="Infotext"/>
              <w:rPr>
                <w:rFonts w:cs="Arial"/>
                <w:sz w:val="24"/>
                <w:szCs w:val="24"/>
              </w:rPr>
            </w:pPr>
          </w:p>
        </w:tc>
      </w:tr>
      <w:tr w:rsidR="00DD6B82" w14:paraId="2153D76F" w14:textId="77777777" w:rsidTr="00DD6B82">
        <w:trPr>
          <w:trHeight w:val="841"/>
        </w:trPr>
        <w:tc>
          <w:tcPr>
            <w:tcW w:w="3700" w:type="dxa"/>
          </w:tcPr>
          <w:p w14:paraId="38D77986" w14:textId="77777777" w:rsidR="00DD6B82" w:rsidRPr="00C13A5F" w:rsidRDefault="00DD6B82" w:rsidP="0042671C">
            <w:pPr>
              <w:pStyle w:val="Infotext"/>
              <w:spacing w:after="240"/>
              <w:rPr>
                <w:rFonts w:ascii="Arial Black" w:hAnsi="Arial Black"/>
              </w:rPr>
            </w:pPr>
            <w:r w:rsidRPr="00DB6C3D">
              <w:rPr>
                <w:rFonts w:ascii="Arial Black" w:hAnsi="Arial Black"/>
              </w:rPr>
              <w:t>Portfolio Holder:</w:t>
            </w:r>
          </w:p>
        </w:tc>
        <w:tc>
          <w:tcPr>
            <w:tcW w:w="5411" w:type="dxa"/>
          </w:tcPr>
          <w:p w14:paraId="4E4C1B58" w14:textId="77777777" w:rsidR="00DD6B82" w:rsidRDefault="00DD6B82" w:rsidP="0042671C">
            <w:pPr>
              <w:pStyle w:val="Infotext"/>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53BD5432" w14:textId="2140CED9" w:rsidR="00DD6B82" w:rsidRPr="005E3A10" w:rsidRDefault="00DD6B82" w:rsidP="0042671C">
            <w:pPr>
              <w:pStyle w:val="Infotext"/>
              <w:rPr>
                <w:rFonts w:cs="Arial"/>
                <w:color w:val="FF0000"/>
                <w:sz w:val="24"/>
                <w:szCs w:val="24"/>
              </w:rPr>
            </w:pPr>
          </w:p>
        </w:tc>
      </w:tr>
      <w:tr w:rsidR="00DD6B82" w14:paraId="54578AEC" w14:textId="77777777" w:rsidTr="00DD6B82">
        <w:trPr>
          <w:trHeight w:val="627"/>
        </w:trPr>
        <w:tc>
          <w:tcPr>
            <w:tcW w:w="3700" w:type="dxa"/>
          </w:tcPr>
          <w:p w14:paraId="287C8BED" w14:textId="77777777" w:rsidR="00DD6B82" w:rsidRPr="00C13A5F" w:rsidRDefault="00DD6B82" w:rsidP="0042671C">
            <w:pPr>
              <w:pStyle w:val="Infotext"/>
              <w:spacing w:after="240"/>
              <w:rPr>
                <w:rFonts w:ascii="Arial Black" w:hAnsi="Arial Black"/>
              </w:rPr>
            </w:pPr>
            <w:r w:rsidRPr="00DB6C3D">
              <w:rPr>
                <w:rFonts w:ascii="Arial Black" w:hAnsi="Arial Black"/>
              </w:rPr>
              <w:t>Exempt:</w:t>
            </w:r>
          </w:p>
        </w:tc>
        <w:tc>
          <w:tcPr>
            <w:tcW w:w="5411" w:type="dxa"/>
          </w:tcPr>
          <w:p w14:paraId="4D10CB54" w14:textId="44BF0CC2" w:rsidR="00DD6B82" w:rsidRPr="005E3A10" w:rsidRDefault="00DD6B82" w:rsidP="0042671C">
            <w:pPr>
              <w:pStyle w:val="Infotext"/>
              <w:rPr>
                <w:rFonts w:cs="Arial"/>
                <w:sz w:val="24"/>
                <w:szCs w:val="24"/>
              </w:rPr>
            </w:pPr>
            <w:r w:rsidRPr="005E3A10">
              <w:rPr>
                <w:rFonts w:cs="Arial"/>
                <w:sz w:val="24"/>
                <w:szCs w:val="24"/>
              </w:rPr>
              <w:t>No</w:t>
            </w:r>
          </w:p>
          <w:p w14:paraId="56DF6CA3" w14:textId="2C2C9D9E" w:rsidR="00DD6B82" w:rsidRPr="005E3A10" w:rsidRDefault="00DD6B82" w:rsidP="00DD6B82">
            <w:pPr>
              <w:pStyle w:val="Infotext"/>
              <w:rPr>
                <w:rFonts w:cs="Arial"/>
                <w:color w:val="FF0000"/>
                <w:sz w:val="24"/>
                <w:szCs w:val="24"/>
              </w:rPr>
            </w:pPr>
          </w:p>
        </w:tc>
      </w:tr>
      <w:tr w:rsidR="00DD6B82" w14:paraId="0A16E204" w14:textId="77777777" w:rsidTr="00DD6B82">
        <w:trPr>
          <w:trHeight w:val="1030"/>
        </w:trPr>
        <w:tc>
          <w:tcPr>
            <w:tcW w:w="3700" w:type="dxa"/>
          </w:tcPr>
          <w:p w14:paraId="3D79542E" w14:textId="77777777" w:rsidR="00DD6B82" w:rsidRPr="00C13A5F" w:rsidRDefault="00DD6B82" w:rsidP="0042671C">
            <w:pPr>
              <w:pStyle w:val="Infotext"/>
              <w:spacing w:after="240"/>
              <w:rPr>
                <w:rFonts w:ascii="Arial Black" w:hAnsi="Arial Black"/>
              </w:rPr>
            </w:pPr>
            <w:r w:rsidRPr="00DB6C3D">
              <w:rPr>
                <w:rFonts w:ascii="Arial Black" w:hAnsi="Arial Black"/>
              </w:rPr>
              <w:t>Decision subject to Call-in:</w:t>
            </w:r>
          </w:p>
        </w:tc>
        <w:tc>
          <w:tcPr>
            <w:tcW w:w="5411" w:type="dxa"/>
          </w:tcPr>
          <w:p w14:paraId="223944F3" w14:textId="46A77A0F" w:rsidR="00DD6B82" w:rsidRPr="005E3A10" w:rsidRDefault="00DD6B82" w:rsidP="00DD6B82">
            <w:pPr>
              <w:pStyle w:val="Infotext"/>
              <w:rPr>
                <w:rFonts w:cs="Arial"/>
                <w:szCs w:val="24"/>
              </w:rPr>
            </w:pPr>
            <w:r w:rsidRPr="005E3A10">
              <w:rPr>
                <w:rFonts w:cs="Arial"/>
                <w:sz w:val="24"/>
                <w:szCs w:val="24"/>
              </w:rPr>
              <w:t xml:space="preserve">Yes </w:t>
            </w:r>
          </w:p>
        </w:tc>
      </w:tr>
      <w:tr w:rsidR="00DD6B82" w14:paraId="5A50C356" w14:textId="77777777" w:rsidTr="00DD6B82">
        <w:trPr>
          <w:trHeight w:val="640"/>
        </w:trPr>
        <w:tc>
          <w:tcPr>
            <w:tcW w:w="3700" w:type="dxa"/>
          </w:tcPr>
          <w:p w14:paraId="2AE96EB9" w14:textId="77777777" w:rsidR="00DD6B82" w:rsidRPr="00C13A5F" w:rsidRDefault="00DD6B82" w:rsidP="0042671C">
            <w:pPr>
              <w:pStyle w:val="Infotext"/>
              <w:spacing w:after="240"/>
              <w:rPr>
                <w:rFonts w:ascii="Arial Black" w:hAnsi="Arial Black" w:cs="Arial"/>
              </w:rPr>
            </w:pPr>
            <w:r>
              <w:rPr>
                <w:rFonts w:ascii="Arial Black" w:hAnsi="Arial Black" w:cs="Arial"/>
              </w:rPr>
              <w:t>Wards affected:</w:t>
            </w:r>
          </w:p>
        </w:tc>
        <w:tc>
          <w:tcPr>
            <w:tcW w:w="5411" w:type="dxa"/>
          </w:tcPr>
          <w:p w14:paraId="1641185F" w14:textId="105C7D8F" w:rsidR="00DD6B82" w:rsidRPr="00307F76" w:rsidRDefault="00DD6B82" w:rsidP="0042671C">
            <w:pPr>
              <w:rPr>
                <w:rFonts w:cs="Arial"/>
                <w:b/>
                <w:color w:val="FF0000"/>
                <w:szCs w:val="24"/>
              </w:rPr>
            </w:pPr>
            <w:r>
              <w:rPr>
                <w:rFonts w:cs="Arial"/>
                <w:szCs w:val="24"/>
              </w:rPr>
              <w:t>All wards</w:t>
            </w:r>
          </w:p>
        </w:tc>
      </w:tr>
      <w:tr w:rsidR="00DD6B82" w14:paraId="793750EE" w14:textId="77777777" w:rsidTr="00DD6B82">
        <w:trPr>
          <w:trHeight w:val="637"/>
        </w:trPr>
        <w:tc>
          <w:tcPr>
            <w:tcW w:w="3700" w:type="dxa"/>
          </w:tcPr>
          <w:p w14:paraId="67629760"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Enclosures:</w:t>
            </w:r>
          </w:p>
        </w:tc>
        <w:tc>
          <w:tcPr>
            <w:tcW w:w="5411" w:type="dxa"/>
          </w:tcPr>
          <w:p w14:paraId="0EA0DE8D" w14:textId="7346D913" w:rsidR="00DD6B82" w:rsidRPr="008A1A78" w:rsidRDefault="00DD6B82" w:rsidP="00DD6B82">
            <w:pPr>
              <w:rPr>
                <w:rFonts w:cs="Arial"/>
                <w:color w:val="000000" w:themeColor="text1"/>
              </w:rPr>
            </w:pPr>
            <w:r w:rsidRPr="008A1A78">
              <w:rPr>
                <w:rFonts w:cs="Arial"/>
                <w:color w:val="000000" w:themeColor="text1"/>
              </w:rPr>
              <w:t xml:space="preserve">Appendix 1 </w:t>
            </w:r>
            <w:r>
              <w:rPr>
                <w:rFonts w:cs="Arial"/>
                <w:color w:val="000000" w:themeColor="text1"/>
              </w:rPr>
              <w:t xml:space="preserve">- </w:t>
            </w:r>
            <w:r w:rsidRPr="008A1A78">
              <w:rPr>
                <w:rFonts w:cs="Arial"/>
                <w:color w:val="000000" w:themeColor="text1"/>
              </w:rPr>
              <w:t>Link Group Economic Commentary</w:t>
            </w:r>
          </w:p>
          <w:p w14:paraId="4C86814B" w14:textId="7E73E4B4" w:rsidR="00DD6B82" w:rsidRPr="008A1A78" w:rsidRDefault="00DD6B82" w:rsidP="00DD6B82">
            <w:pPr>
              <w:rPr>
                <w:rFonts w:cs="Arial"/>
                <w:color w:val="000000" w:themeColor="text1"/>
              </w:rPr>
            </w:pPr>
            <w:r w:rsidRPr="008A1A78">
              <w:rPr>
                <w:rFonts w:cs="Arial"/>
                <w:color w:val="000000" w:themeColor="text1"/>
              </w:rPr>
              <w:t xml:space="preserve">Appendix </w:t>
            </w:r>
            <w:proofErr w:type="gramStart"/>
            <w:r w:rsidRPr="008A1A78">
              <w:rPr>
                <w:rFonts w:cs="Arial"/>
                <w:color w:val="000000" w:themeColor="text1"/>
              </w:rPr>
              <w:t xml:space="preserve">2 </w:t>
            </w:r>
            <w:r>
              <w:rPr>
                <w:rFonts w:cs="Arial"/>
                <w:color w:val="000000" w:themeColor="text1"/>
              </w:rPr>
              <w:t xml:space="preserve"> -</w:t>
            </w:r>
            <w:proofErr w:type="gramEnd"/>
            <w:r>
              <w:rPr>
                <w:rFonts w:cs="Arial"/>
                <w:color w:val="000000" w:themeColor="text1"/>
              </w:rPr>
              <w:t xml:space="preserve"> </w:t>
            </w:r>
            <w:r w:rsidRPr="008A1A78">
              <w:rPr>
                <w:rFonts w:cs="Arial"/>
                <w:color w:val="000000" w:themeColor="text1"/>
              </w:rPr>
              <w:t>Borrowing Rate Summary 202</w:t>
            </w:r>
            <w:r>
              <w:rPr>
                <w:rFonts w:cs="Arial"/>
                <w:color w:val="000000" w:themeColor="text1"/>
              </w:rPr>
              <w:t>1</w:t>
            </w:r>
            <w:r w:rsidRPr="008A1A78">
              <w:rPr>
                <w:rFonts w:cs="Arial"/>
                <w:color w:val="000000" w:themeColor="text1"/>
              </w:rPr>
              <w:t>/2</w:t>
            </w:r>
            <w:r>
              <w:rPr>
                <w:rFonts w:cs="Arial"/>
                <w:color w:val="000000" w:themeColor="text1"/>
              </w:rPr>
              <w:t>2</w:t>
            </w:r>
          </w:p>
          <w:p w14:paraId="2253858E" w14:textId="779E4A9A" w:rsidR="00DD6B82" w:rsidRPr="005E3A10" w:rsidRDefault="00DD6B82" w:rsidP="0042671C">
            <w:pPr>
              <w:pStyle w:val="Infotext"/>
              <w:rPr>
                <w:color w:val="FF0000"/>
                <w:sz w:val="24"/>
                <w:szCs w:val="24"/>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33FAA" w14:paraId="2AD700D9" w14:textId="77777777" w:rsidTr="00A94722">
        <w:tc>
          <w:tcPr>
            <w:tcW w:w="9464" w:type="dxa"/>
            <w:tcBorders>
              <w:top w:val="nil"/>
              <w:left w:val="nil"/>
              <w:right w:val="nil"/>
            </w:tcBorders>
          </w:tcPr>
          <w:p w14:paraId="26C270CC" w14:textId="77777777" w:rsidR="00DD6B82" w:rsidRDefault="00DD6B82" w:rsidP="003634DA">
            <w:pPr>
              <w:pStyle w:val="Heading1"/>
              <w:jc w:val="both"/>
            </w:pPr>
          </w:p>
          <w:p w14:paraId="74A6884E" w14:textId="77777777" w:rsidR="00DD6B82" w:rsidRDefault="00DD6B82" w:rsidP="003634DA">
            <w:pPr>
              <w:pStyle w:val="Heading1"/>
              <w:jc w:val="both"/>
            </w:pPr>
          </w:p>
          <w:p w14:paraId="1AC78179" w14:textId="77777777" w:rsidR="00DD6B82" w:rsidRDefault="00DD6B82" w:rsidP="003634DA">
            <w:pPr>
              <w:pStyle w:val="Heading1"/>
              <w:jc w:val="both"/>
            </w:pPr>
          </w:p>
          <w:p w14:paraId="17DBC8FE" w14:textId="77777777" w:rsidR="00DD6B82" w:rsidRDefault="00DD6B82" w:rsidP="003634DA">
            <w:pPr>
              <w:pStyle w:val="Heading1"/>
              <w:jc w:val="both"/>
            </w:pPr>
          </w:p>
          <w:p w14:paraId="3C76AE67" w14:textId="77777777" w:rsidR="00DD6B82" w:rsidRDefault="00DD6B82" w:rsidP="003634DA">
            <w:pPr>
              <w:pStyle w:val="Heading1"/>
              <w:jc w:val="both"/>
            </w:pPr>
          </w:p>
          <w:p w14:paraId="12BAC2ED" w14:textId="77777777" w:rsidR="00DD6B82" w:rsidRDefault="00DD6B82" w:rsidP="003634DA">
            <w:pPr>
              <w:pStyle w:val="Heading1"/>
              <w:jc w:val="both"/>
            </w:pPr>
          </w:p>
          <w:p w14:paraId="7756E9F3" w14:textId="77777777" w:rsidR="00DD6B82" w:rsidRDefault="00DD6B82" w:rsidP="003634DA">
            <w:pPr>
              <w:pStyle w:val="Heading1"/>
              <w:jc w:val="both"/>
            </w:pPr>
          </w:p>
          <w:p w14:paraId="07472578" w14:textId="77777777" w:rsidR="00DD6B82" w:rsidRDefault="00DD6B82" w:rsidP="003634DA">
            <w:pPr>
              <w:pStyle w:val="Heading1"/>
              <w:jc w:val="both"/>
            </w:pPr>
          </w:p>
          <w:p w14:paraId="58E0E0CA" w14:textId="77777777" w:rsidR="00DD6B82" w:rsidRDefault="00DD6B82" w:rsidP="003634DA">
            <w:pPr>
              <w:pStyle w:val="Heading1"/>
              <w:jc w:val="both"/>
            </w:pPr>
          </w:p>
          <w:p w14:paraId="5279AF24" w14:textId="77777777" w:rsidR="00DD6B82" w:rsidRDefault="00DD6B82" w:rsidP="003634DA">
            <w:pPr>
              <w:pStyle w:val="Heading1"/>
              <w:jc w:val="both"/>
            </w:pPr>
          </w:p>
          <w:p w14:paraId="5D7AE02C" w14:textId="77777777" w:rsidR="00DD6B82" w:rsidRDefault="00DD6B82" w:rsidP="003634DA">
            <w:pPr>
              <w:pStyle w:val="Heading1"/>
              <w:jc w:val="both"/>
            </w:pPr>
          </w:p>
          <w:p w14:paraId="4E6A3993" w14:textId="3F19D7DC"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c>
          <w:tcPr>
            <w:tcW w:w="9464" w:type="dxa"/>
          </w:tcPr>
          <w:p w14:paraId="15485C20" w14:textId="60F06C04" w:rsidR="00315406" w:rsidRPr="00290F2F" w:rsidRDefault="00315406" w:rsidP="003634DA">
            <w:pPr>
              <w:pStyle w:val="ListParagraph"/>
              <w:jc w:val="both"/>
              <w:rPr>
                <w:color w:val="FF0000"/>
              </w:rPr>
            </w:pPr>
          </w:p>
          <w:p w14:paraId="11A38A1B" w14:textId="5D4A17A3" w:rsidR="00A94722" w:rsidRPr="00C102C7" w:rsidRDefault="00A94722" w:rsidP="00A94722">
            <w:pPr>
              <w:jc w:val="both"/>
              <w:rPr>
                <w:bCs/>
              </w:rPr>
            </w:pPr>
            <w:r>
              <w:t xml:space="preserve">This </w:t>
            </w:r>
            <w:r w:rsidRPr="007E2266">
              <w:t>report sets out the</w:t>
            </w:r>
            <w:r>
              <w:t xml:space="preserve"> Treasury Management Outturn position for 202</w:t>
            </w:r>
            <w:r w:rsidR="006168BF">
              <w:t>1</w:t>
            </w:r>
            <w:r>
              <w:t>/2</w:t>
            </w:r>
            <w:r w:rsidR="006168BF">
              <w:t>2</w:t>
            </w:r>
            <w:r w:rsidRPr="00C102C7">
              <w:rPr>
                <w:bCs/>
              </w:rPr>
              <w:t xml:space="preserve">. </w:t>
            </w:r>
          </w:p>
          <w:p w14:paraId="49F5E268" w14:textId="77777777" w:rsidR="00A94722" w:rsidRPr="00F340D5" w:rsidRDefault="00A94722" w:rsidP="00A94722">
            <w:pPr>
              <w:pStyle w:val="Heading3"/>
              <w:spacing w:before="240"/>
              <w:rPr>
                <w:i w:val="0"/>
                <w:iCs/>
              </w:rPr>
            </w:pPr>
            <w:r w:rsidRPr="00F340D5">
              <w:rPr>
                <w:i w:val="0"/>
                <w:iCs/>
              </w:rPr>
              <w:t xml:space="preserve">Recommendations: </w:t>
            </w:r>
          </w:p>
          <w:p w14:paraId="78FB9D40" w14:textId="77777777" w:rsidR="00A94722" w:rsidRDefault="00A94722" w:rsidP="00A94722">
            <w:r>
              <w:t>Cabinet is requested to:</w:t>
            </w:r>
          </w:p>
          <w:p w14:paraId="67CC888C" w14:textId="77777777" w:rsidR="00A94722" w:rsidRDefault="00A94722" w:rsidP="00A94722"/>
          <w:p w14:paraId="2C9F5D12" w14:textId="1AD7C9EF" w:rsidR="00A94722" w:rsidRDefault="00A94722" w:rsidP="00A94722">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w:t>
            </w:r>
            <w:r w:rsidR="006168BF">
              <w:t>1</w:t>
            </w:r>
            <w:r>
              <w:t>/2</w:t>
            </w:r>
            <w:r w:rsidR="006168BF">
              <w:t>2</w:t>
            </w:r>
            <w:r>
              <w:t>.</w:t>
            </w:r>
          </w:p>
          <w:p w14:paraId="78C238D4" w14:textId="77777777" w:rsidR="00A94722" w:rsidRDefault="00A94722" w:rsidP="00A94722">
            <w:pPr>
              <w:pStyle w:val="ListParagraph"/>
            </w:pPr>
          </w:p>
          <w:p w14:paraId="4E0B0D2F" w14:textId="26D055E4" w:rsidR="00A94722" w:rsidRDefault="00A94722" w:rsidP="00A94722">
            <w:pPr>
              <w:pStyle w:val="ListParagraph"/>
              <w:numPr>
                <w:ilvl w:val="0"/>
                <w:numId w:val="39"/>
              </w:numPr>
            </w:pPr>
            <w:r>
              <w:t>R</w:t>
            </w:r>
            <w:r w:rsidRPr="008A1A78">
              <w:t>efer this report to the Governance, Audit, Risk Management and Standards Committee for review.</w:t>
            </w:r>
          </w:p>
          <w:p w14:paraId="19059AC5" w14:textId="77777777" w:rsidR="00A94722" w:rsidRDefault="00A94722" w:rsidP="00A94722"/>
          <w:p w14:paraId="070F311D" w14:textId="77777777" w:rsidR="00A94722" w:rsidRDefault="00A94722" w:rsidP="00A94722">
            <w:pPr>
              <w:pStyle w:val="Heading3"/>
              <w:ind w:left="0" w:firstLine="0"/>
              <w:jc w:val="left"/>
            </w:pPr>
            <w:r w:rsidRPr="00F340D5">
              <w:rPr>
                <w:i w:val="0"/>
                <w:iCs/>
              </w:rPr>
              <w:t>Reason:  (for recommendations)</w:t>
            </w:r>
            <w:r>
              <w:t xml:space="preserve">  </w:t>
            </w:r>
          </w:p>
          <w:p w14:paraId="6CDBEC31" w14:textId="77777777" w:rsidR="00A94722" w:rsidRPr="00F340D5" w:rsidRDefault="00A94722" w:rsidP="00A94722"/>
          <w:p w14:paraId="4C00F8A7" w14:textId="77777777" w:rsidR="00A94722" w:rsidRDefault="00A94722" w:rsidP="00A94722">
            <w:pPr>
              <w:numPr>
                <w:ilvl w:val="0"/>
                <w:numId w:val="40"/>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Finance, </w:t>
            </w:r>
            <w:r w:rsidRPr="00C214FF">
              <w:t xml:space="preserve"> </w:t>
            </w:r>
            <w:r>
              <w:t>along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0ACB8D82" w:rsidR="00A94722" w:rsidRPr="00F340D5" w:rsidRDefault="00A94722" w:rsidP="00A94722">
            <w:pPr>
              <w:numPr>
                <w:ilvl w:val="0"/>
                <w:numId w:val="40"/>
              </w:numPr>
              <w:jc w:val="both"/>
            </w:pPr>
            <w:r w:rsidRPr="00C214FF">
              <w:t>To keep Members informed of Treasury Management activities and performance</w:t>
            </w:r>
            <w:r>
              <w:t xml:space="preserve"> for 202</w:t>
            </w:r>
            <w:r w:rsidR="006168BF">
              <w:t>1</w:t>
            </w:r>
            <w:r>
              <w:t>/2</w:t>
            </w:r>
            <w:r w:rsidR="006168BF">
              <w:t>2</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311B701D"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w:t>
      </w:r>
      <w:r w:rsidR="006168BF">
        <w:rPr>
          <w:rFonts w:cs="Arial"/>
          <w:szCs w:val="24"/>
        </w:rPr>
        <w:t>1</w:t>
      </w:r>
      <w:r>
        <w:rPr>
          <w:rFonts w:cs="Arial"/>
          <w:szCs w:val="24"/>
        </w:rPr>
        <w:t>/2</w:t>
      </w:r>
      <w:r w:rsidR="006168BF">
        <w:rPr>
          <w:rFonts w:cs="Arial"/>
          <w:szCs w:val="24"/>
        </w:rPr>
        <w:t>2</w:t>
      </w:r>
      <w:r>
        <w:rPr>
          <w:rFonts w:cs="Arial"/>
          <w:szCs w:val="24"/>
        </w:rPr>
        <w:t xml:space="preserve">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lastRenderedPageBreak/>
        <w:t>T</w:t>
      </w:r>
      <w:r w:rsidRPr="00745F95">
        <w:rPr>
          <w:rFonts w:cs="Arial"/>
          <w:bCs/>
          <w:szCs w:val="24"/>
        </w:rPr>
        <w: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49C917A0" w:rsidR="002368AA" w:rsidRPr="008A1A78" w:rsidRDefault="002368AA" w:rsidP="00C57F30">
      <w:pPr>
        <w:spacing w:before="45" w:after="45"/>
        <w:ind w:left="567"/>
        <w:jc w:val="both"/>
        <w:rPr>
          <w:rFonts w:cs="Arial"/>
          <w:b/>
          <w:bCs/>
          <w:noProof/>
          <w:szCs w:val="24"/>
        </w:rPr>
      </w:pPr>
      <w:r w:rsidRPr="008A1A78">
        <w:rPr>
          <w:rFonts w:cs="Arial"/>
          <w:b/>
          <w:bCs/>
          <w:noProof/>
          <w:szCs w:val="24"/>
        </w:rPr>
        <w:t>The 202</w:t>
      </w:r>
      <w:r w:rsidR="006168BF">
        <w:rPr>
          <w:rFonts w:cs="Arial"/>
          <w:b/>
          <w:bCs/>
          <w:noProof/>
          <w:szCs w:val="24"/>
        </w:rPr>
        <w:t>1</w:t>
      </w:r>
      <w:r w:rsidRPr="008A1A78">
        <w:rPr>
          <w:rFonts w:cs="Arial"/>
          <w:b/>
          <w:bCs/>
          <w:noProof/>
          <w:szCs w:val="24"/>
        </w:rPr>
        <w:t>/2</w:t>
      </w:r>
      <w:r w:rsidR="006168BF">
        <w:rPr>
          <w:rFonts w:cs="Arial"/>
          <w:b/>
          <w:bCs/>
          <w:noProof/>
          <w:szCs w:val="24"/>
        </w:rPr>
        <w:t>2</w:t>
      </w:r>
      <w:r w:rsidRPr="008A1A78">
        <w:rPr>
          <w:rFonts w:cs="Arial"/>
          <w:b/>
          <w:bCs/>
          <w:noProof/>
          <w:szCs w:val="24"/>
        </w:rPr>
        <w:t xml:space="preserve"> TMSS was presented to Council on </w:t>
      </w:r>
      <w:r w:rsidR="00FC000E" w:rsidRPr="008A1A78">
        <w:rPr>
          <w:rFonts w:cs="Arial"/>
          <w:b/>
          <w:bCs/>
          <w:noProof/>
          <w:szCs w:val="24"/>
        </w:rPr>
        <w:t>13</w:t>
      </w:r>
      <w:r w:rsidR="00FC000E" w:rsidRPr="008A1A78">
        <w:rPr>
          <w:rFonts w:cs="Arial"/>
          <w:b/>
          <w:bCs/>
          <w:noProof/>
          <w:szCs w:val="24"/>
          <w:vertAlign w:val="superscript"/>
        </w:rPr>
        <w:t>th</w:t>
      </w:r>
      <w:r w:rsidR="00FC000E" w:rsidRPr="008A1A78">
        <w:rPr>
          <w:rFonts w:cs="Arial"/>
          <w:b/>
          <w:bCs/>
          <w:noProof/>
          <w:szCs w:val="24"/>
        </w:rPr>
        <w:t xml:space="preserve"> February 202</w:t>
      </w:r>
      <w:r w:rsidR="006168BF">
        <w:rPr>
          <w:rFonts w:cs="Arial"/>
          <w:b/>
          <w:bCs/>
          <w:noProof/>
          <w:szCs w:val="24"/>
        </w:rPr>
        <w:t>1</w:t>
      </w:r>
      <w:r w:rsidR="00FC000E" w:rsidRPr="008A1A78">
        <w:rPr>
          <w:rFonts w:cs="Arial"/>
          <w:b/>
          <w:bCs/>
          <w:noProof/>
          <w:szCs w:val="24"/>
        </w:rPr>
        <w:t>.</w:t>
      </w:r>
    </w:p>
    <w:p w14:paraId="5B062915" w14:textId="77777777" w:rsidR="00C10137" w:rsidRPr="00105BD0" w:rsidRDefault="00C10137" w:rsidP="00C57F30">
      <w:pPr>
        <w:ind w:left="567"/>
        <w:jc w:val="both"/>
        <w:rPr>
          <w:rFonts w:cs="Arial"/>
          <w:iCs/>
          <w:noProof/>
          <w:sz w:val="22"/>
          <w:szCs w:val="22"/>
        </w:rPr>
      </w:pPr>
    </w:p>
    <w:p w14:paraId="1662F927" w14:textId="1D98BC25"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and updates Members on the</w:t>
      </w:r>
      <w:r w:rsidR="00081477">
        <w:rPr>
          <w:rFonts w:cs="Arial"/>
          <w:iCs/>
          <w:noProof/>
          <w:szCs w:val="24"/>
        </w:rPr>
        <w:t xml:space="preserve"> Treasury Management activity of the Authority within within the context of the approved TMSS.  This also includes</w:t>
      </w:r>
      <w:r w:rsidRPr="00105BD0">
        <w:rPr>
          <w:rFonts w:cs="Arial"/>
          <w:iCs/>
          <w:noProof/>
          <w:szCs w:val="24"/>
        </w:rPr>
        <w:t xml:space="preserve"> progress of the </w:t>
      </w:r>
      <w:r>
        <w:rPr>
          <w:rFonts w:cs="Arial"/>
          <w:iCs/>
          <w:noProof/>
          <w:szCs w:val="24"/>
        </w:rPr>
        <w:t>C</w:t>
      </w:r>
      <w:r w:rsidRPr="00105BD0">
        <w:rPr>
          <w:rFonts w:cs="Arial"/>
          <w:iCs/>
          <w:noProof/>
          <w:szCs w:val="24"/>
        </w:rPr>
        <w:t xml:space="preserve">apital </w:t>
      </w:r>
      <w:r>
        <w:rPr>
          <w:rFonts w:cs="Arial"/>
          <w:iCs/>
          <w:noProof/>
          <w:szCs w:val="24"/>
        </w:rPr>
        <w:t>Programme</w:t>
      </w:r>
      <w:r w:rsidR="00081477">
        <w:rPr>
          <w:rFonts w:cs="Arial"/>
          <w:iCs/>
          <w:noProof/>
          <w:szCs w:val="24"/>
        </w:rPr>
        <w:t xml:space="preserve"> and</w:t>
      </w:r>
      <w:r w:rsidRPr="00105BD0">
        <w:rPr>
          <w:rFonts w:cs="Arial"/>
          <w:iCs/>
          <w:noProof/>
          <w:szCs w:val="24"/>
        </w:rPr>
        <w:t xml:space="preserve">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00576930" w:rsidR="002368AA" w:rsidRPr="008A1A78" w:rsidRDefault="002368AA" w:rsidP="00C57F30">
      <w:pPr>
        <w:ind w:left="567"/>
        <w:jc w:val="both"/>
        <w:rPr>
          <w:rFonts w:cs="Arial"/>
          <w:b/>
          <w:bCs/>
          <w:iCs/>
          <w:noProof/>
          <w:szCs w:val="24"/>
        </w:rPr>
      </w:pPr>
      <w:r w:rsidRPr="008A1A78">
        <w:rPr>
          <w:rFonts w:cs="Arial"/>
          <w:b/>
          <w:bCs/>
          <w:iCs/>
          <w:noProof/>
          <w:szCs w:val="24"/>
        </w:rPr>
        <w:t>The 202</w:t>
      </w:r>
      <w:r w:rsidR="006168BF">
        <w:rPr>
          <w:rFonts w:cs="Arial"/>
          <w:b/>
          <w:bCs/>
          <w:iCs/>
          <w:noProof/>
          <w:szCs w:val="24"/>
        </w:rPr>
        <w:t>1</w:t>
      </w:r>
      <w:r w:rsidRPr="008A1A78">
        <w:rPr>
          <w:rFonts w:cs="Arial"/>
          <w:b/>
          <w:bCs/>
          <w:iCs/>
          <w:noProof/>
          <w:szCs w:val="24"/>
        </w:rPr>
        <w:t>/2</w:t>
      </w:r>
      <w:r w:rsidR="006168BF">
        <w:rPr>
          <w:rFonts w:cs="Arial"/>
          <w:b/>
          <w:bCs/>
          <w:iCs/>
          <w:noProof/>
          <w:szCs w:val="24"/>
        </w:rPr>
        <w:t>2</w:t>
      </w:r>
      <w:r w:rsidRPr="008A1A78">
        <w:rPr>
          <w:rFonts w:cs="Arial"/>
          <w:b/>
          <w:bCs/>
          <w:iCs/>
          <w:noProof/>
          <w:szCs w:val="24"/>
        </w:rPr>
        <w:t xml:space="preserve"> Mid-Year Report was presented to Cabinet on </w:t>
      </w:r>
      <w:r w:rsidR="006168BF">
        <w:rPr>
          <w:rFonts w:cs="Arial"/>
          <w:b/>
          <w:bCs/>
          <w:iCs/>
          <w:noProof/>
          <w:szCs w:val="24"/>
          <w:vertAlign w:val="superscript"/>
        </w:rPr>
        <w:t xml:space="preserve"> </w:t>
      </w:r>
      <w:r w:rsidR="006168BF">
        <w:rPr>
          <w:rFonts w:cs="Arial"/>
          <w:b/>
          <w:bCs/>
          <w:iCs/>
          <w:noProof/>
          <w:szCs w:val="24"/>
        </w:rPr>
        <w:t>9th</w:t>
      </w:r>
      <w:r w:rsidR="00FC000E" w:rsidRPr="008A1A78">
        <w:rPr>
          <w:rFonts w:cs="Arial"/>
          <w:b/>
          <w:bCs/>
          <w:iCs/>
          <w:noProof/>
          <w:szCs w:val="24"/>
        </w:rPr>
        <w:t xml:space="preserve"> </w:t>
      </w:r>
      <w:r w:rsidR="006168BF">
        <w:rPr>
          <w:rFonts w:cs="Arial"/>
          <w:b/>
          <w:bCs/>
          <w:iCs/>
          <w:noProof/>
          <w:szCs w:val="24"/>
        </w:rPr>
        <w:t>December</w:t>
      </w:r>
      <w:r w:rsidR="00FC000E" w:rsidRPr="008A1A78">
        <w:rPr>
          <w:rFonts w:cs="Arial"/>
          <w:b/>
          <w:bCs/>
          <w:iCs/>
          <w:noProof/>
          <w:szCs w:val="24"/>
        </w:rPr>
        <w:t xml:space="preserve"> 202</w:t>
      </w:r>
      <w:r w:rsidR="006168BF">
        <w:rPr>
          <w:rFonts w:cs="Arial"/>
          <w:b/>
          <w:bCs/>
          <w:iCs/>
          <w:noProof/>
          <w:szCs w:val="24"/>
        </w:rPr>
        <w:t>1</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6984B6F6"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provides</w:t>
      </w:r>
      <w:r w:rsidR="00081477">
        <w:rPr>
          <w:rFonts w:cs="Arial"/>
          <w:bCs/>
          <w:iCs/>
          <w:noProof/>
          <w:szCs w:val="24"/>
        </w:rPr>
        <w:t xml:space="preserve"> a review of the treasury management activity over the financial year and includes</w:t>
      </w:r>
      <w:r w:rsidRPr="00C10137">
        <w:rPr>
          <w:rFonts w:cs="Arial"/>
          <w:bCs/>
          <w:iCs/>
          <w:noProof/>
          <w:szCs w:val="24"/>
        </w:rPr>
        <w:t xml:space="preserve">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w:t>
      </w:r>
      <w:r w:rsidR="00081477">
        <w:rPr>
          <w:rFonts w:cs="Arial"/>
          <w:bCs/>
          <w:iCs/>
          <w:noProof/>
          <w:szCs w:val="24"/>
        </w:rPr>
        <w:t xml:space="preserve"> originally included</w:t>
      </w:r>
      <w:r w:rsidRPr="00C10137">
        <w:rPr>
          <w:rFonts w:cs="Arial"/>
          <w:bCs/>
          <w:iCs/>
          <w:noProof/>
          <w:szCs w:val="24"/>
        </w:rPr>
        <w:t xml:space="preserve">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58665872" w14:textId="282D8D84" w:rsidR="00441967" w:rsidRDefault="00934DB0" w:rsidP="00441967">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sidR="00441967" w:rsidRPr="00441967">
        <w:rPr>
          <w:rFonts w:cs="Arial"/>
          <w:bCs/>
          <w:iCs/>
          <w:noProof/>
          <w:szCs w:val="24"/>
        </w:rPr>
        <w:t xml:space="preserve"> </w:t>
      </w:r>
      <w:r w:rsidR="00441967">
        <w:rPr>
          <w:rFonts w:cs="Arial"/>
          <w:bCs/>
          <w:iCs/>
          <w:noProof/>
          <w:szCs w:val="24"/>
        </w:rPr>
        <w:t>which is specified in section C93 (ii) in the Financial Regulations.</w:t>
      </w:r>
    </w:p>
    <w:p w14:paraId="3DAC18AA" w14:textId="3D68092D" w:rsidR="00C10137" w:rsidRPr="00441967" w:rsidRDefault="00C10137" w:rsidP="00441967">
      <w:pPr>
        <w:jc w:val="both"/>
        <w:rPr>
          <w:rFonts w:cs="Arial"/>
          <w:bCs/>
          <w:szCs w:val="24"/>
        </w:rPr>
      </w:pPr>
    </w:p>
    <w:p w14:paraId="7F38FE5D" w14:textId="0EAF0329"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lastRenderedPageBreak/>
        <w:t>Scrutiny</w:t>
      </w:r>
      <w:r>
        <w:rPr>
          <w:rFonts w:cs="Arial"/>
          <w:b/>
          <w:bCs/>
          <w:iCs/>
          <w:noProof/>
          <w:szCs w:val="24"/>
        </w:rPr>
        <w:t xml:space="preserve"> </w:t>
      </w:r>
      <w:r w:rsidRPr="00C10137">
        <w:rPr>
          <w:rFonts w:cs="Arial"/>
          <w:iCs/>
          <w:noProof/>
          <w:szCs w:val="24"/>
        </w:rPr>
        <w:t>– The above reports are required to be adequately scrutinised, normally before being recommended to Cabinet / Council, with the role being undertaken by the Governance, Audit, Risk Management and Standards Committee (GARMS).  The Council has complied with the CIPFA Treasury Management Code of Practice to the extent that all Treasury Management reports have been scrutinised</w:t>
      </w:r>
      <w:r w:rsidR="00A3549A">
        <w:rPr>
          <w:rFonts w:cs="Arial"/>
          <w:iCs/>
          <w:noProof/>
          <w:szCs w:val="24"/>
        </w:rPr>
        <w:t>,</w:t>
      </w:r>
      <w:r w:rsidRPr="00C10137">
        <w:rPr>
          <w:rFonts w:cs="Arial"/>
          <w:iCs/>
          <w:noProof/>
          <w:szCs w:val="24"/>
        </w:rPr>
        <w:t xml:space="preserve"> though the efficient conduct of the Council’s business may require 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5609679F" w14:textId="77777777" w:rsidR="00C10137" w:rsidRDefault="00C10137" w:rsidP="00C10137">
      <w:pPr>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Matters covered in the Report</w:t>
      </w:r>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07BBDAF4"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w:t>
      </w:r>
      <w:r w:rsidR="006168BF">
        <w:rPr>
          <w:rFonts w:cs="Arial"/>
          <w:szCs w:val="24"/>
        </w:rPr>
        <w:t>1</w:t>
      </w:r>
      <w:r w:rsidR="00EA40A9">
        <w:rPr>
          <w:rFonts w:cs="Arial"/>
          <w:szCs w:val="24"/>
        </w:rPr>
        <w:t>/2</w:t>
      </w:r>
      <w:r w:rsidR="006168BF">
        <w:rPr>
          <w:rFonts w:cs="Arial"/>
          <w:szCs w:val="24"/>
        </w:rPr>
        <w:t>2</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4CCB844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6168BF">
        <w:rPr>
          <w:rFonts w:cs="Arial"/>
          <w:noProof/>
          <w:szCs w:val="24"/>
        </w:rPr>
        <w:t>2</w:t>
      </w:r>
    </w:p>
    <w:p w14:paraId="5EDB785C" w14:textId="78269DC3"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w:t>
      </w:r>
      <w:r w:rsidR="006168BF">
        <w:rPr>
          <w:rFonts w:cs="Arial"/>
          <w:noProof/>
          <w:szCs w:val="24"/>
        </w:rPr>
        <w:t>1</w:t>
      </w:r>
      <w:r w:rsidR="009E2FDE" w:rsidRPr="00C57F30">
        <w:rPr>
          <w:rFonts w:cs="Arial"/>
          <w:noProof/>
          <w:szCs w:val="24"/>
        </w:rPr>
        <w:t>/2</w:t>
      </w:r>
      <w:r w:rsidR="006168BF">
        <w:rPr>
          <w:rFonts w:cs="Arial"/>
          <w:noProof/>
          <w:szCs w:val="24"/>
        </w:rPr>
        <w:t>2</w:t>
      </w:r>
      <w:r w:rsidRPr="00C57F30">
        <w:rPr>
          <w:rFonts w:cs="Arial"/>
          <w:noProof/>
          <w:szCs w:val="24"/>
        </w:rPr>
        <w:t xml:space="preserve"> Strategy</w:t>
      </w:r>
    </w:p>
    <w:p w14:paraId="03A9E33E" w14:textId="3A5C9C0B"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for 202</w:t>
      </w:r>
      <w:r w:rsidR="006168BF">
        <w:rPr>
          <w:rFonts w:cs="Arial"/>
          <w:noProof/>
          <w:szCs w:val="24"/>
        </w:rPr>
        <w:t>1</w:t>
      </w:r>
      <w:r w:rsidRPr="00C57F30">
        <w:rPr>
          <w:rFonts w:cs="Arial"/>
          <w:noProof/>
          <w:szCs w:val="24"/>
        </w:rPr>
        <w:t>/2</w:t>
      </w:r>
      <w:r w:rsidR="006168BF">
        <w:rPr>
          <w:rFonts w:cs="Arial"/>
          <w:noProof/>
          <w:szCs w:val="24"/>
        </w:rPr>
        <w:t>2</w:t>
      </w:r>
      <w:r w:rsidRPr="00C57F30">
        <w:rPr>
          <w:rFonts w:cs="Arial"/>
          <w:noProof/>
          <w:szCs w:val="24"/>
        </w:rPr>
        <w:t xml:space="preserve">  (Appendix</w:t>
      </w:r>
      <w:r w:rsidR="00C57F30">
        <w:rPr>
          <w:rFonts w:cs="Arial"/>
          <w:noProof/>
          <w:szCs w:val="24"/>
        </w:rPr>
        <w:t xml:space="preserve"> </w:t>
      </w:r>
      <w:r w:rsidRPr="00C57F30">
        <w:rPr>
          <w:rFonts w:cs="Arial"/>
          <w:noProof/>
          <w:szCs w:val="24"/>
        </w:rPr>
        <w:t>1)</w:t>
      </w:r>
    </w:p>
    <w:p w14:paraId="6BF18A93" w14:textId="1E9A2CA8"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Rate Summary for 202</w:t>
      </w:r>
      <w:r w:rsidR="006168BF">
        <w:rPr>
          <w:rFonts w:cs="Arial"/>
          <w:noProof/>
          <w:szCs w:val="24"/>
        </w:rPr>
        <w:t>1</w:t>
      </w:r>
      <w:r>
        <w:rPr>
          <w:rFonts w:cs="Arial"/>
          <w:noProof/>
          <w:szCs w:val="24"/>
        </w:rPr>
        <w:t>/2</w:t>
      </w:r>
      <w:r w:rsidR="006168BF">
        <w:rPr>
          <w:rFonts w:cs="Arial"/>
          <w:noProof/>
          <w:szCs w:val="24"/>
        </w:rPr>
        <w:t>2</w:t>
      </w:r>
      <w:r>
        <w:rPr>
          <w:rFonts w:cs="Arial"/>
          <w:noProof/>
          <w:szCs w:val="24"/>
        </w:rPr>
        <w:t xml:space="preserve"> (Appendix 2)</w:t>
      </w:r>
    </w:p>
    <w:p w14:paraId="7C399F15" w14:textId="4EC827E3" w:rsidR="00A2107D" w:rsidRDefault="00A2107D"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Options considered</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302069F0" w14:textId="4568F05D"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w:t>
      </w:r>
      <w:r w:rsidR="006168BF">
        <w:rPr>
          <w:b/>
          <w:szCs w:val="24"/>
          <w:u w:val="single"/>
        </w:rPr>
        <w:t>1</w:t>
      </w:r>
      <w:r>
        <w:rPr>
          <w:b/>
          <w:szCs w:val="24"/>
          <w:u w:val="single"/>
        </w:rPr>
        <w:t>/2</w:t>
      </w:r>
      <w:r w:rsidR="006168BF">
        <w:rPr>
          <w:b/>
          <w:szCs w:val="24"/>
          <w:u w:val="single"/>
        </w:rPr>
        <w:t>2</w:t>
      </w:r>
    </w:p>
    <w:p w14:paraId="3C11B41B" w14:textId="77777777" w:rsidR="002C5BD7" w:rsidRPr="00F52080" w:rsidRDefault="002C5BD7" w:rsidP="00487CDB">
      <w:pPr>
        <w:jc w:val="both"/>
        <w:rPr>
          <w:b/>
          <w:szCs w:val="24"/>
          <w:u w:val="single"/>
        </w:rPr>
      </w:pPr>
    </w:p>
    <w:p w14:paraId="3AF4DF71" w14:textId="3357292F"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w:t>
      </w:r>
      <w:r w:rsidR="006168BF">
        <w:rPr>
          <w:rFonts w:cs="Arial"/>
          <w:bCs/>
          <w:szCs w:val="24"/>
        </w:rPr>
        <w:t>1</w:t>
      </w:r>
      <w:r>
        <w:rPr>
          <w:rFonts w:cs="Arial"/>
          <w:bCs/>
          <w:szCs w:val="24"/>
        </w:rPr>
        <w:t>/2</w:t>
      </w:r>
      <w:r w:rsidR="006168BF">
        <w:rPr>
          <w:rFonts w:cs="Arial"/>
          <w:bCs/>
          <w:szCs w:val="24"/>
        </w:rPr>
        <w:t>2</w:t>
      </w:r>
      <w:r w:rsidRPr="009E2FDE">
        <w:rPr>
          <w:rFonts w:cs="Arial"/>
          <w:bCs/>
          <w:szCs w:val="24"/>
        </w:rPr>
        <w:t xml:space="preserve"> was approved by Council </w:t>
      </w:r>
      <w:r w:rsidR="00FC000E">
        <w:rPr>
          <w:rFonts w:cs="Arial"/>
          <w:bCs/>
          <w:szCs w:val="24"/>
        </w:rPr>
        <w:t>in February 202</w:t>
      </w:r>
      <w:r w:rsidR="006168BF">
        <w:rPr>
          <w:rFonts w:cs="Arial"/>
          <w:bCs/>
          <w:szCs w:val="24"/>
        </w:rPr>
        <w:t>1</w:t>
      </w:r>
      <w:r w:rsidRPr="009E2FDE">
        <w:rPr>
          <w:rFonts w:cs="Arial"/>
          <w:bCs/>
          <w:szCs w:val="24"/>
        </w:rPr>
        <w:t xml:space="preserve"> . It stated that for the next three years the Capital Programme would continue to be funded from grants and revenue resources but that substantial borrowing would also be required.</w:t>
      </w:r>
    </w:p>
    <w:p w14:paraId="29A1D2E7" w14:textId="77777777" w:rsidR="009E2FDE" w:rsidRPr="009E2FDE" w:rsidRDefault="009E2FDE" w:rsidP="009E2FDE">
      <w:pPr>
        <w:pStyle w:val="ListParagraph"/>
        <w:tabs>
          <w:tab w:val="left" w:pos="567"/>
        </w:tabs>
        <w:ind w:left="567" w:hanging="128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260F9B02"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lastRenderedPageBreak/>
        <w:t>The actual capital expenditure forms one of the required prudential indicators.  The tables below show the actual capital expenditure for 20</w:t>
      </w:r>
      <w:r w:rsidR="00BA18FA">
        <w:rPr>
          <w:rFonts w:cs="Arial"/>
          <w:bCs/>
          <w:szCs w:val="24"/>
        </w:rPr>
        <w:t>2</w:t>
      </w:r>
      <w:r w:rsidR="006168BF">
        <w:rPr>
          <w:rFonts w:cs="Arial"/>
          <w:bCs/>
          <w:szCs w:val="24"/>
        </w:rPr>
        <w:t>1</w:t>
      </w:r>
      <w:r w:rsidR="00BA18FA">
        <w:rPr>
          <w:rFonts w:cs="Arial"/>
          <w:bCs/>
          <w:szCs w:val="24"/>
        </w:rPr>
        <w:t>/2</w:t>
      </w:r>
      <w:r w:rsidR="006168BF">
        <w:rPr>
          <w:rFonts w:cs="Arial"/>
          <w:bCs/>
          <w:szCs w:val="24"/>
        </w:rPr>
        <w:t>2</w:t>
      </w:r>
      <w:r w:rsidRPr="009E2FDE">
        <w:rPr>
          <w:rFonts w:cs="Arial"/>
          <w:bCs/>
          <w:szCs w:val="24"/>
        </w:rPr>
        <w:t xml:space="preserve"> against that budgeted and how this was financed.</w:t>
      </w:r>
    </w:p>
    <w:p w14:paraId="4EE0B9E8" w14:textId="77777777" w:rsidR="005C2738" w:rsidRPr="009E2FDE" w:rsidRDefault="005C2738" w:rsidP="002368AA">
      <w:pPr>
        <w:pStyle w:val="ListParagraph"/>
        <w:tabs>
          <w:tab w:val="left" w:pos="567"/>
        </w:tabs>
        <w:ind w:left="567"/>
        <w:jc w:val="both"/>
        <w:rPr>
          <w:rFonts w:cs="Arial"/>
          <w:bCs/>
          <w:szCs w:val="24"/>
        </w:rPr>
      </w:pPr>
    </w:p>
    <w:p w14:paraId="32976A38" w14:textId="60995357" w:rsidR="009E2FDE" w:rsidRPr="00B96C22" w:rsidRDefault="009E2FDE"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Table 1: Capital Expenditure</w:t>
      </w:r>
    </w:p>
    <w:tbl>
      <w:tblPr>
        <w:tblW w:w="9820" w:type="dxa"/>
        <w:tblCellMar>
          <w:top w:w="15" w:type="dxa"/>
          <w:bottom w:w="15" w:type="dxa"/>
        </w:tblCellMar>
        <w:tblLook w:val="04A0" w:firstRow="1" w:lastRow="0" w:firstColumn="1" w:lastColumn="0" w:noHBand="0" w:noVBand="1"/>
      </w:tblPr>
      <w:tblGrid>
        <w:gridCol w:w="3580"/>
        <w:gridCol w:w="1560"/>
        <w:gridCol w:w="1560"/>
        <w:gridCol w:w="1560"/>
        <w:gridCol w:w="1560"/>
      </w:tblGrid>
      <w:tr w:rsidR="00DA2FA3" w:rsidRPr="00DA2FA3" w14:paraId="77D80FA7" w14:textId="77777777" w:rsidTr="00DA2FA3">
        <w:trPr>
          <w:trHeight w:val="300"/>
        </w:trPr>
        <w:tc>
          <w:tcPr>
            <w:tcW w:w="3580" w:type="dxa"/>
            <w:vMerge w:val="restart"/>
            <w:tcBorders>
              <w:top w:val="single" w:sz="12" w:space="0" w:color="auto"/>
              <w:left w:val="single" w:sz="12" w:space="0" w:color="auto"/>
              <w:bottom w:val="single" w:sz="12" w:space="0" w:color="auto"/>
              <w:right w:val="single" w:sz="12" w:space="0" w:color="auto"/>
            </w:tcBorders>
            <w:shd w:val="clear" w:color="000000" w:fill="D0CECE"/>
            <w:vAlign w:val="center"/>
            <w:hideMark/>
          </w:tcPr>
          <w:p w14:paraId="44CF913A"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Capital Expenditure</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6A032A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2020/21</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1670EF3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596F2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AD065A5"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r>
      <w:tr w:rsidR="00DA2FA3" w:rsidRPr="00DA2FA3" w14:paraId="59E4E9A2" w14:textId="77777777" w:rsidTr="00DA2FA3">
        <w:trPr>
          <w:trHeight w:val="1545"/>
        </w:trPr>
        <w:tc>
          <w:tcPr>
            <w:tcW w:w="3580" w:type="dxa"/>
            <w:vMerge/>
            <w:tcBorders>
              <w:top w:val="single" w:sz="12" w:space="0" w:color="auto"/>
              <w:left w:val="single" w:sz="12" w:space="0" w:color="auto"/>
              <w:bottom w:val="single" w:sz="12" w:space="0" w:color="auto"/>
              <w:right w:val="single" w:sz="12" w:space="0" w:color="auto"/>
            </w:tcBorders>
            <w:vAlign w:val="center"/>
            <w:hideMark/>
          </w:tcPr>
          <w:p w14:paraId="36DD7A05" w14:textId="77777777" w:rsidR="00DA2FA3" w:rsidRPr="00B96C22" w:rsidRDefault="00DA2FA3" w:rsidP="00DA2FA3">
            <w:pPr>
              <w:rPr>
                <w:rFonts w:cs="Arial"/>
                <w:b/>
                <w:bCs/>
                <w:sz w:val="22"/>
                <w:szCs w:val="22"/>
                <w:lang w:eastAsia="en-GB"/>
              </w:rPr>
            </w:pP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699EF17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11A3939E"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Budget</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4B62DF40"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2B1B85B3"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Variance</w:t>
            </w:r>
            <w:r w:rsidRPr="00B96C22">
              <w:rPr>
                <w:rFonts w:cs="Arial"/>
                <w:b/>
                <w:bCs/>
                <w:sz w:val="22"/>
                <w:szCs w:val="22"/>
                <w:lang w:eastAsia="en-GB"/>
              </w:rPr>
              <w:br/>
            </w:r>
            <w:r w:rsidRPr="00B96C22">
              <w:rPr>
                <w:rFonts w:cs="Arial"/>
                <w:b/>
                <w:bCs/>
                <w:sz w:val="22"/>
                <w:szCs w:val="22"/>
                <w:lang w:eastAsia="en-GB"/>
              </w:rPr>
              <w:br/>
              <w:t>£'000</w:t>
            </w:r>
          </w:p>
        </w:tc>
      </w:tr>
      <w:tr w:rsidR="00DA2FA3" w:rsidRPr="00DA2FA3" w14:paraId="7DE78938"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3E23D" w14:textId="77777777" w:rsidR="00DA2FA3" w:rsidRPr="00B96C22" w:rsidRDefault="00DA2FA3" w:rsidP="00DA2FA3">
            <w:pPr>
              <w:rPr>
                <w:rFonts w:cs="Arial"/>
                <w:sz w:val="22"/>
                <w:szCs w:val="22"/>
                <w:lang w:eastAsia="en-GB"/>
              </w:rPr>
            </w:pPr>
            <w:r w:rsidRPr="00B96C22">
              <w:rPr>
                <w:rFonts w:cs="Arial"/>
                <w:sz w:val="22"/>
                <w:szCs w:val="22"/>
                <w:lang w:eastAsia="en-GB"/>
              </w:rPr>
              <w:t>Resources and Commercial Directorate</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A6B17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10,044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9790A3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15,183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388BD50"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5,598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FD372CA"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9,585 </w:t>
            </w:r>
          </w:p>
        </w:tc>
      </w:tr>
      <w:tr w:rsidR="00DA2FA3" w:rsidRPr="00DA2FA3" w14:paraId="5ACF4D6B"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6882161" w14:textId="77777777" w:rsidR="00DA2FA3" w:rsidRPr="00B96C22" w:rsidRDefault="00DA2FA3" w:rsidP="00DA2FA3">
            <w:pPr>
              <w:rPr>
                <w:rFonts w:cs="Arial"/>
                <w:sz w:val="22"/>
                <w:szCs w:val="22"/>
                <w:lang w:eastAsia="en-GB"/>
              </w:rPr>
            </w:pPr>
            <w:r w:rsidRPr="00B96C22">
              <w:rPr>
                <w:rFonts w:cs="Arial"/>
                <w:sz w:val="22"/>
                <w:szCs w:val="22"/>
                <w:lang w:eastAsia="en-GB"/>
              </w:rPr>
              <w:t>People's</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1F755FC8"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4E83174"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28,886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ABE1905"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2,258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D27B4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26,628 </w:t>
            </w:r>
          </w:p>
        </w:tc>
      </w:tr>
      <w:tr w:rsidR="00DA2FA3" w:rsidRPr="00DA2FA3" w14:paraId="341CF804"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DD9F5C9" w14:textId="77777777" w:rsidR="00DA2FA3" w:rsidRPr="00B96C22" w:rsidRDefault="00DA2FA3" w:rsidP="00DA2FA3">
            <w:pPr>
              <w:rPr>
                <w:rFonts w:cs="Arial"/>
                <w:sz w:val="22"/>
                <w:szCs w:val="22"/>
                <w:lang w:eastAsia="en-GB"/>
              </w:rPr>
            </w:pPr>
            <w:r w:rsidRPr="00B96C22">
              <w:rPr>
                <w:rFonts w:cs="Arial"/>
                <w:sz w:val="22"/>
                <w:szCs w:val="22"/>
                <w:lang w:eastAsia="en-GB"/>
              </w:rPr>
              <w:t>Community</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DB6F9C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30,371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F995EB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69,806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9D3BCB7"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36,261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AFBAC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33,545 </w:t>
            </w:r>
          </w:p>
        </w:tc>
      </w:tr>
      <w:tr w:rsidR="00DA2FA3" w:rsidRPr="00DA2FA3" w14:paraId="1E5D0139"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66372A4" w14:textId="77777777" w:rsidR="00DA2FA3" w:rsidRPr="00B96C22" w:rsidRDefault="00DA2FA3" w:rsidP="00DA2FA3">
            <w:pPr>
              <w:rPr>
                <w:rFonts w:cs="Arial"/>
                <w:b/>
                <w:bCs/>
                <w:sz w:val="22"/>
                <w:szCs w:val="22"/>
                <w:lang w:eastAsia="en-GB"/>
              </w:rPr>
            </w:pPr>
            <w:r w:rsidRPr="00B96C22">
              <w:rPr>
                <w:rFonts w:cs="Arial"/>
                <w:b/>
                <w:bCs/>
                <w:sz w:val="22"/>
                <w:szCs w:val="22"/>
                <w:lang w:eastAsia="en-GB"/>
              </w:rPr>
              <w:t>General Fund</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031D87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42,060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34A33B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113,875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0AF795A"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44,117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6CF6B8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69,758 </w:t>
            </w:r>
          </w:p>
        </w:tc>
      </w:tr>
      <w:tr w:rsidR="00DA2FA3" w:rsidRPr="00DA2FA3" w14:paraId="0D3824C2"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71049FC0" w14:textId="77777777" w:rsidR="00DA2FA3" w:rsidRPr="00B96C22" w:rsidRDefault="00DA2FA3" w:rsidP="00DA2FA3">
            <w:pPr>
              <w:rPr>
                <w:rFonts w:cs="Arial"/>
                <w:b/>
                <w:bCs/>
                <w:sz w:val="22"/>
                <w:szCs w:val="22"/>
                <w:lang w:eastAsia="en-GB"/>
              </w:rPr>
            </w:pPr>
            <w:r w:rsidRPr="00B96C22">
              <w:rPr>
                <w:rFonts w:cs="Arial"/>
                <w:b/>
                <w:bCs/>
                <w:sz w:val="22"/>
                <w:szCs w:val="22"/>
                <w:lang w:eastAsia="en-GB"/>
              </w:rPr>
              <w:t>HRA</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97183DB"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12,537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2DC532E"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102,645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96FF7C3"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30,529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780A49F"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72,116 </w:t>
            </w:r>
          </w:p>
        </w:tc>
      </w:tr>
      <w:tr w:rsidR="00DA2FA3" w:rsidRPr="00DA2FA3" w14:paraId="5E6B94D1"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6D468" w14:textId="77777777" w:rsidR="00DA2FA3" w:rsidRPr="00B96C22" w:rsidRDefault="00DA2FA3" w:rsidP="00DA2FA3">
            <w:pPr>
              <w:rPr>
                <w:rFonts w:cs="Arial"/>
                <w:b/>
                <w:bCs/>
                <w:sz w:val="22"/>
                <w:szCs w:val="22"/>
                <w:lang w:eastAsia="en-GB"/>
              </w:rPr>
            </w:pPr>
            <w:r w:rsidRPr="00B96C22">
              <w:rPr>
                <w:rFonts w:cs="Arial"/>
                <w:b/>
                <w:bCs/>
                <w:sz w:val="22"/>
                <w:szCs w:val="22"/>
                <w:lang w:eastAsia="en-GB"/>
              </w:rPr>
              <w:t>Total</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B6F80E2"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54,597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FB0358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216,520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602EE5D"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74,646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7F2999"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141,874 </w:t>
            </w:r>
          </w:p>
        </w:tc>
      </w:tr>
    </w:tbl>
    <w:p w14:paraId="751F2424" w14:textId="77777777" w:rsidR="00DA2FA3" w:rsidRPr="00B96C22" w:rsidRDefault="00DA2FA3" w:rsidP="002368AA">
      <w:pPr>
        <w:pStyle w:val="BodyText"/>
        <w:tabs>
          <w:tab w:val="left" w:pos="360"/>
        </w:tabs>
        <w:spacing w:before="60"/>
        <w:rPr>
          <w:i w:val="0"/>
          <w:iCs w:val="0"/>
          <w:color w:val="0D0D0D" w:themeColor="text1" w:themeTint="F2"/>
          <w:sz w:val="20"/>
          <w:szCs w:val="18"/>
          <w:highlight w:val="yellow"/>
        </w:rPr>
      </w:pPr>
    </w:p>
    <w:p w14:paraId="65FEAAB3" w14:textId="75E779BA" w:rsidR="00BA18FA" w:rsidRPr="00B96C22" w:rsidRDefault="00BA18FA" w:rsidP="00BA18FA">
      <w:pPr>
        <w:ind w:left="709" w:hanging="709"/>
        <w:rPr>
          <w:b/>
          <w:bCs/>
          <w:sz w:val="22"/>
          <w:szCs w:val="22"/>
          <w:highlight w:val="yellow"/>
        </w:rPr>
      </w:pPr>
    </w:p>
    <w:p w14:paraId="19862336" w14:textId="2385F9F0" w:rsidR="00BA18FA" w:rsidRDefault="00BA18FA"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 xml:space="preserve">Table 2: Financing of </w:t>
      </w:r>
      <w:r w:rsidR="00E84785">
        <w:rPr>
          <w:b/>
          <w:bCs/>
          <w:i w:val="0"/>
          <w:iCs w:val="0"/>
          <w:color w:val="0D0D0D" w:themeColor="text1" w:themeTint="F2"/>
          <w:sz w:val="22"/>
          <w:szCs w:val="22"/>
        </w:rPr>
        <w:t xml:space="preserve">General Fund </w:t>
      </w:r>
      <w:r w:rsidRPr="00B96C22">
        <w:rPr>
          <w:b/>
          <w:bCs/>
          <w:i w:val="0"/>
          <w:iCs w:val="0"/>
          <w:color w:val="0D0D0D" w:themeColor="text1" w:themeTint="F2"/>
          <w:sz w:val="22"/>
          <w:szCs w:val="22"/>
        </w:rPr>
        <w:t>Capital Expenditure</w:t>
      </w:r>
    </w:p>
    <w:p w14:paraId="65D23A56" w14:textId="3502AB68" w:rsidR="00E84785" w:rsidRDefault="00E84785" w:rsidP="002368AA">
      <w:pPr>
        <w:pStyle w:val="BodyText"/>
        <w:tabs>
          <w:tab w:val="left" w:pos="360"/>
        </w:tabs>
        <w:spacing w:before="60"/>
        <w:rPr>
          <w:b/>
          <w:bCs/>
          <w:i w:val="0"/>
          <w:iCs w:val="0"/>
          <w:color w:val="0D0D0D" w:themeColor="text1" w:themeTint="F2"/>
          <w:sz w:val="22"/>
          <w:szCs w:val="22"/>
        </w:rPr>
      </w:pPr>
      <w:r w:rsidRPr="00E84785">
        <w:rPr>
          <w:noProof/>
        </w:rPr>
        <w:drawing>
          <wp:inline distT="0" distB="0" distL="0" distR="0" wp14:anchorId="7BFB1400" wp14:editId="4A7992D4">
            <wp:extent cx="3994150" cy="26225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150" cy="2622550"/>
                    </a:xfrm>
                    <a:prstGeom prst="rect">
                      <a:avLst/>
                    </a:prstGeom>
                    <a:noFill/>
                    <a:ln>
                      <a:noFill/>
                    </a:ln>
                  </pic:spPr>
                </pic:pic>
              </a:graphicData>
            </a:graphic>
          </wp:inline>
        </w:drawing>
      </w:r>
    </w:p>
    <w:p w14:paraId="4C35D991" w14:textId="60C69204" w:rsidR="00BA18FA" w:rsidRDefault="00BA18FA" w:rsidP="00B96C22">
      <w:pPr>
        <w:rPr>
          <w:szCs w:val="24"/>
        </w:rPr>
      </w:pPr>
    </w:p>
    <w:p w14:paraId="09DC3F5F" w14:textId="009886E5" w:rsidR="004A72C4" w:rsidRPr="004A72C4" w:rsidRDefault="004A72C4" w:rsidP="004A72C4">
      <w:pPr>
        <w:pStyle w:val="ListParagraph"/>
        <w:numPr>
          <w:ilvl w:val="0"/>
          <w:numId w:val="21"/>
        </w:numPr>
        <w:tabs>
          <w:tab w:val="left" w:pos="567"/>
        </w:tabs>
        <w:ind w:left="567" w:hanging="567"/>
        <w:jc w:val="both"/>
        <w:rPr>
          <w:rFonts w:cs="Arial"/>
          <w:bCs/>
          <w:szCs w:val="24"/>
        </w:rPr>
      </w:pPr>
      <w:r w:rsidRPr="004A72C4">
        <w:rPr>
          <w:rFonts w:cs="Arial"/>
          <w:bCs/>
          <w:szCs w:val="24"/>
        </w:rPr>
        <w:t xml:space="preserve">Further details of the capital expenditure position </w:t>
      </w:r>
      <w:r w:rsidR="006168BF">
        <w:rPr>
          <w:rFonts w:cs="Arial"/>
          <w:bCs/>
          <w:szCs w:val="24"/>
        </w:rPr>
        <w:t>are</w:t>
      </w:r>
      <w:r w:rsidRPr="004A72C4">
        <w:rPr>
          <w:rFonts w:cs="Arial"/>
          <w:bCs/>
          <w:szCs w:val="24"/>
        </w:rPr>
        <w:t xml:space="preserve"> included within the Revenue and Capital Outturn Report </w:t>
      </w:r>
      <w:r>
        <w:rPr>
          <w:rFonts w:cs="Arial"/>
          <w:bCs/>
          <w:szCs w:val="24"/>
        </w:rPr>
        <w:t>202</w:t>
      </w:r>
      <w:r w:rsidR="006168BF">
        <w:rPr>
          <w:rFonts w:cs="Arial"/>
          <w:bCs/>
          <w:szCs w:val="24"/>
        </w:rPr>
        <w:t>1</w:t>
      </w:r>
      <w:r>
        <w:rPr>
          <w:rFonts w:cs="Arial"/>
          <w:bCs/>
          <w:szCs w:val="24"/>
        </w:rPr>
        <w:t>/2</w:t>
      </w:r>
      <w:r w:rsidR="006168BF">
        <w:rPr>
          <w:rFonts w:cs="Arial"/>
          <w:bCs/>
          <w:szCs w:val="24"/>
        </w:rPr>
        <w:t>2</w:t>
      </w:r>
      <w:r w:rsidR="00D01D88">
        <w:rPr>
          <w:rFonts w:cs="Arial"/>
          <w:bCs/>
          <w:szCs w:val="24"/>
        </w:rPr>
        <w:t xml:space="preserve"> which </w:t>
      </w:r>
      <w:r w:rsidR="009E512E">
        <w:rPr>
          <w:rFonts w:cs="Arial"/>
          <w:bCs/>
          <w:szCs w:val="24"/>
        </w:rPr>
        <w:t xml:space="preserve">is included </w:t>
      </w:r>
      <w:r w:rsidR="006168BF">
        <w:rPr>
          <w:rFonts w:cs="Arial"/>
          <w:bCs/>
          <w:szCs w:val="24"/>
        </w:rPr>
        <w:t xml:space="preserve">elsewhere on this </w:t>
      </w:r>
      <w:r w:rsidR="009E512E">
        <w:rPr>
          <w:rFonts w:cs="Arial"/>
          <w:bCs/>
          <w:szCs w:val="24"/>
        </w:rPr>
        <w:t xml:space="preserve">July cabinet meeting </w:t>
      </w:r>
      <w:r w:rsidR="006168BF">
        <w:rPr>
          <w:rFonts w:cs="Arial"/>
          <w:bCs/>
          <w:szCs w:val="24"/>
        </w:rPr>
        <w:t>agenda</w:t>
      </w:r>
      <w:r w:rsidR="00A05B17">
        <w:rPr>
          <w:rFonts w:cs="Arial"/>
          <w:bCs/>
          <w:szCs w:val="24"/>
        </w:rPr>
        <w:t>.</w:t>
      </w:r>
    </w:p>
    <w:p w14:paraId="58532C6D" w14:textId="77777777" w:rsidR="004A72C4" w:rsidRPr="00F52080" w:rsidRDefault="004A72C4" w:rsidP="00BA18FA">
      <w:pPr>
        <w:ind w:left="709" w:hanging="709"/>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 xml:space="preserve">The Council’s underlying need to borrow to finance capital expenditure is termed the Capital Financing Requirement (CFR).  The CFR increases within any net financing need for the year and reduces through the application of resources, </w:t>
      </w:r>
      <w:r w:rsidRPr="004A72C4">
        <w:rPr>
          <w:rFonts w:cs="Arial"/>
          <w:bCs/>
          <w:szCs w:val="24"/>
        </w:rPr>
        <w:lastRenderedPageBreak/>
        <w:t>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208D5DC" w:rsidR="004A72C4" w:rsidRPr="00C61C3A" w:rsidRDefault="004A72C4" w:rsidP="00C61C3A">
      <w:pPr>
        <w:pStyle w:val="ListParagraph"/>
        <w:numPr>
          <w:ilvl w:val="0"/>
          <w:numId w:val="22"/>
        </w:numPr>
        <w:tabs>
          <w:tab w:val="left" w:pos="567"/>
        </w:tabs>
        <w:ind w:left="567" w:hanging="567"/>
        <w:jc w:val="both"/>
        <w:rPr>
          <w:rFonts w:cs="Arial"/>
          <w:bCs/>
          <w:szCs w:val="24"/>
        </w:rPr>
      </w:pPr>
      <w:r w:rsidRPr="002368AA">
        <w:rPr>
          <w:rFonts w:cs="Arial"/>
          <w:bCs/>
          <w:szCs w:val="24"/>
        </w:rPr>
        <w:t xml:space="preserve">In order to ensure that borrowing levels are prudent over the medium term and only for a capital purpose, the Council should ensure that its gross external debt (borrowing plus other </w:t>
      </w:r>
      <w:proofErr w:type="gramStart"/>
      <w:r w:rsidRPr="002368AA">
        <w:rPr>
          <w:rFonts w:cs="Arial"/>
          <w:bCs/>
          <w:szCs w:val="24"/>
        </w:rPr>
        <w:t>long term</w:t>
      </w:r>
      <w:proofErr w:type="gramEnd"/>
      <w:r w:rsidRPr="002368AA">
        <w:rPr>
          <w:rFonts w:cs="Arial"/>
          <w:bCs/>
          <w:szCs w:val="24"/>
        </w:rPr>
        <w:t xml:space="preserve"> liabilities such as PFI and Finance Leases) does not, except in the short term, exceed the total CFR in the preceding year (20</w:t>
      </w:r>
      <w:r w:rsidR="002368AA">
        <w:rPr>
          <w:rFonts w:cs="Arial"/>
          <w:bCs/>
          <w:szCs w:val="24"/>
        </w:rPr>
        <w:t>2</w:t>
      </w:r>
      <w:r w:rsidR="00A05B17">
        <w:rPr>
          <w:rFonts w:cs="Arial"/>
          <w:bCs/>
          <w:szCs w:val="24"/>
        </w:rPr>
        <w:t>1</w:t>
      </w:r>
      <w:r w:rsidRPr="002368AA">
        <w:rPr>
          <w:rFonts w:cs="Arial"/>
          <w:bCs/>
          <w:szCs w:val="24"/>
        </w:rPr>
        <w:t>/2</w:t>
      </w:r>
      <w:r w:rsidR="00A05B17">
        <w:rPr>
          <w:rFonts w:cs="Arial"/>
          <w:bCs/>
          <w:szCs w:val="24"/>
        </w:rPr>
        <w:t>2</w:t>
      </w:r>
      <w:r w:rsidRPr="002368AA">
        <w:rPr>
          <w:rFonts w:cs="Arial"/>
          <w:bCs/>
          <w:szCs w:val="24"/>
        </w:rPr>
        <w:t>) plus the estimates of any additional borrowing requirement for the current (202</w:t>
      </w:r>
      <w:r w:rsidR="00A05B17">
        <w:rPr>
          <w:rFonts w:cs="Arial"/>
          <w:bCs/>
          <w:szCs w:val="24"/>
        </w:rPr>
        <w:t>2</w:t>
      </w:r>
      <w:r w:rsidRPr="002368AA">
        <w:rPr>
          <w:rFonts w:cs="Arial"/>
          <w:bCs/>
          <w:szCs w:val="24"/>
        </w:rPr>
        <w:t>/2</w:t>
      </w:r>
      <w:r w:rsidR="00A05B17">
        <w:rPr>
          <w:rFonts w:cs="Arial"/>
          <w:bCs/>
          <w:szCs w:val="24"/>
        </w:rPr>
        <w:t>3</w:t>
      </w:r>
      <w:r w:rsidRPr="002368AA">
        <w:rPr>
          <w:rFonts w:cs="Arial"/>
          <w:bCs/>
          <w:szCs w:val="24"/>
        </w:rPr>
        <w:t xml:space="preserve">) and next two financial years.  The table below highlights the Council’s gross debt position </w:t>
      </w:r>
      <w:r w:rsidR="00A05B17">
        <w:rPr>
          <w:rFonts w:cs="Arial"/>
          <w:bCs/>
          <w:szCs w:val="24"/>
        </w:rPr>
        <w:t xml:space="preserve">for 2021/22 </w:t>
      </w:r>
      <w:r w:rsidR="007C3D88">
        <w:rPr>
          <w:rFonts w:cs="Arial"/>
          <w:bCs/>
          <w:szCs w:val="24"/>
        </w:rPr>
        <w:t>of £439</w:t>
      </w:r>
      <w:r w:rsidR="00C90473">
        <w:rPr>
          <w:rFonts w:cs="Arial"/>
          <w:bCs/>
          <w:szCs w:val="24"/>
        </w:rPr>
        <w:t>.8</w:t>
      </w:r>
      <w:r w:rsidR="007C3D88">
        <w:rPr>
          <w:rFonts w:cs="Arial"/>
          <w:bCs/>
          <w:szCs w:val="24"/>
        </w:rPr>
        <w:t xml:space="preserve">m </w:t>
      </w:r>
      <w:r w:rsidRPr="002368AA">
        <w:rPr>
          <w:rFonts w:cs="Arial"/>
          <w:bCs/>
          <w:szCs w:val="24"/>
        </w:rPr>
        <w:t>against the CFR in 20</w:t>
      </w:r>
      <w:r w:rsidR="00A05B17">
        <w:rPr>
          <w:rFonts w:cs="Arial"/>
          <w:bCs/>
          <w:szCs w:val="24"/>
        </w:rPr>
        <w:t>2</w:t>
      </w:r>
      <w:r w:rsidR="007C3D88">
        <w:rPr>
          <w:rFonts w:cs="Arial"/>
          <w:bCs/>
          <w:szCs w:val="24"/>
        </w:rPr>
        <w:t>1</w:t>
      </w:r>
      <w:r w:rsidRPr="002368AA">
        <w:rPr>
          <w:rFonts w:cs="Arial"/>
          <w:bCs/>
          <w:szCs w:val="24"/>
        </w:rPr>
        <w:t>/2</w:t>
      </w:r>
      <w:r w:rsidR="007C3D88">
        <w:rPr>
          <w:rFonts w:cs="Arial"/>
          <w:bCs/>
          <w:szCs w:val="24"/>
        </w:rPr>
        <w:t>2 of £5</w:t>
      </w:r>
      <w:r w:rsidR="00C90473">
        <w:rPr>
          <w:rFonts w:cs="Arial"/>
          <w:bCs/>
          <w:szCs w:val="24"/>
        </w:rPr>
        <w:t>90.4</w:t>
      </w:r>
      <w:r w:rsidR="007C3D88">
        <w:rPr>
          <w:rFonts w:cs="Arial"/>
          <w:bCs/>
          <w:szCs w:val="24"/>
        </w:rPr>
        <w:t xml:space="preserve">m which shows that the </w:t>
      </w:r>
      <w:r w:rsidRPr="00B96C22">
        <w:rPr>
          <w:rFonts w:cs="Arial"/>
          <w:bCs/>
          <w:szCs w:val="24"/>
        </w:rPr>
        <w:t xml:space="preserve">Council has complied with this </w:t>
      </w:r>
      <w:r w:rsidR="008D3FFB" w:rsidRPr="00B96C22">
        <w:rPr>
          <w:rFonts w:cs="Arial"/>
          <w:bCs/>
          <w:szCs w:val="24"/>
        </w:rPr>
        <w:t>P</w:t>
      </w:r>
      <w:r w:rsidRPr="00B96C22">
        <w:rPr>
          <w:rFonts w:cs="Arial"/>
          <w:bCs/>
          <w:szCs w:val="24"/>
        </w:rPr>
        <w:t xml:space="preserve">rudential </w:t>
      </w:r>
      <w:r w:rsidR="008D3FFB" w:rsidRPr="00B96C22">
        <w:rPr>
          <w:rFonts w:cs="Arial"/>
          <w:bCs/>
          <w:szCs w:val="24"/>
        </w:rPr>
        <w:t>I</w:t>
      </w:r>
      <w:r w:rsidRPr="00B96C22">
        <w:rPr>
          <w:rFonts w:cs="Arial"/>
          <w:bCs/>
          <w:szCs w:val="24"/>
        </w:rPr>
        <w:t>ndicator</w:t>
      </w:r>
      <w:r w:rsidR="00C90473">
        <w:rPr>
          <w:rFonts w:cs="Arial"/>
          <w:bCs/>
          <w:szCs w:val="24"/>
        </w:rPr>
        <w:t xml:space="preserve"> and stayed within </w:t>
      </w:r>
      <w:proofErr w:type="spellStart"/>
      <w:proofErr w:type="gramStart"/>
      <w:r w:rsidR="00C90473">
        <w:rPr>
          <w:rFonts w:cs="Arial"/>
          <w:bCs/>
          <w:szCs w:val="24"/>
        </w:rPr>
        <w:t>it’s</w:t>
      </w:r>
      <w:proofErr w:type="spellEnd"/>
      <w:proofErr w:type="gramEnd"/>
      <w:r w:rsidR="00C90473">
        <w:rPr>
          <w:rFonts w:cs="Arial"/>
          <w:bCs/>
          <w:szCs w:val="24"/>
        </w:rPr>
        <w:t xml:space="preserve"> CFR</w:t>
      </w:r>
      <w:r w:rsidRPr="00C61C3A">
        <w:rPr>
          <w:rFonts w:cs="Arial"/>
          <w:bCs/>
          <w:szCs w:val="24"/>
        </w:rPr>
        <w:t>.</w:t>
      </w:r>
    </w:p>
    <w:p w14:paraId="7A2290D1" w14:textId="1B1A9E89" w:rsidR="005C2738" w:rsidRDefault="005C2738" w:rsidP="005C2738">
      <w:pPr>
        <w:tabs>
          <w:tab w:val="left" w:pos="567"/>
        </w:tabs>
        <w:jc w:val="both"/>
        <w:rPr>
          <w:rFonts w:cs="Arial"/>
          <w:bCs/>
          <w:szCs w:val="24"/>
        </w:rPr>
      </w:pPr>
    </w:p>
    <w:p w14:paraId="6740A3F1" w14:textId="35DE3AE7" w:rsidR="005C2738" w:rsidRDefault="005C2738" w:rsidP="005C2738">
      <w:pPr>
        <w:tabs>
          <w:tab w:val="left" w:pos="567"/>
        </w:tabs>
        <w:jc w:val="both"/>
        <w:rPr>
          <w:rFonts w:cs="Arial"/>
          <w:bCs/>
          <w:szCs w:val="24"/>
        </w:rPr>
      </w:pPr>
    </w:p>
    <w:p w14:paraId="2C36EBC8" w14:textId="12F49B8D" w:rsidR="004E536E" w:rsidRDefault="004E536E" w:rsidP="004A72C4">
      <w:pPr>
        <w:pStyle w:val="ListParagraph"/>
        <w:tabs>
          <w:tab w:val="left" w:pos="567"/>
        </w:tabs>
        <w:ind w:left="567"/>
        <w:jc w:val="both"/>
        <w:rPr>
          <w:rFonts w:cs="Arial"/>
          <w:b/>
          <w:sz w:val="22"/>
          <w:szCs w:val="22"/>
        </w:rPr>
      </w:pPr>
      <w:r w:rsidRPr="00B96C22">
        <w:rPr>
          <w:rFonts w:cs="Arial"/>
          <w:b/>
          <w:sz w:val="22"/>
          <w:szCs w:val="22"/>
        </w:rPr>
        <w:t>Table 3: Gross Debt and CFR</w:t>
      </w:r>
    </w:p>
    <w:p w14:paraId="4D002C51" w14:textId="05918324" w:rsidR="002306CD" w:rsidRPr="00B96C22" w:rsidRDefault="002306CD" w:rsidP="004A72C4">
      <w:pPr>
        <w:pStyle w:val="ListParagraph"/>
        <w:tabs>
          <w:tab w:val="left" w:pos="567"/>
        </w:tabs>
        <w:ind w:left="567"/>
        <w:jc w:val="both"/>
        <w:rPr>
          <w:rFonts w:cs="Arial"/>
          <w:b/>
          <w:sz w:val="22"/>
          <w:szCs w:val="22"/>
        </w:rPr>
      </w:pPr>
      <w:r w:rsidRPr="002306CD">
        <w:rPr>
          <w:noProof/>
        </w:rPr>
        <w:drawing>
          <wp:inline distT="0" distB="0" distL="0" distR="0" wp14:anchorId="220FE5E7" wp14:editId="2CF0CEEC">
            <wp:extent cx="5152390" cy="2256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83" cy="2263101"/>
                    </a:xfrm>
                    <a:prstGeom prst="rect">
                      <a:avLst/>
                    </a:prstGeom>
                    <a:noFill/>
                    <a:ln>
                      <a:noFill/>
                    </a:ln>
                  </pic:spPr>
                </pic:pic>
              </a:graphicData>
            </a:graphic>
          </wp:inline>
        </w:drawing>
      </w:r>
    </w:p>
    <w:p w14:paraId="51AC2799" w14:textId="1C8EAC58" w:rsidR="00C90473" w:rsidRPr="00B96C22" w:rsidRDefault="00C90473" w:rsidP="004A72C4">
      <w:pPr>
        <w:pStyle w:val="ListParagraph"/>
        <w:tabs>
          <w:tab w:val="left" w:pos="567"/>
        </w:tabs>
        <w:ind w:left="567"/>
        <w:jc w:val="both"/>
        <w:rPr>
          <w:rFonts w:cs="Arial"/>
          <w:bCs/>
          <w:sz w:val="20"/>
          <w:highlight w:val="yellow"/>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187FA71A"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borrowing and other long term obligation costs net of investment income), against the net revenue stream.</w:t>
      </w:r>
      <w:r>
        <w:rPr>
          <w:rFonts w:cs="Arial"/>
          <w:bCs/>
          <w:szCs w:val="24"/>
        </w:rPr>
        <w:t xml:space="preserve">  The actual financing costs as a proportion of net revenue stream for 202</w:t>
      </w:r>
      <w:r w:rsidR="00A05B17">
        <w:rPr>
          <w:rFonts w:cs="Arial"/>
          <w:bCs/>
          <w:szCs w:val="24"/>
        </w:rPr>
        <w:t>1</w:t>
      </w:r>
      <w:r>
        <w:rPr>
          <w:rFonts w:cs="Arial"/>
          <w:bCs/>
          <w:szCs w:val="24"/>
        </w:rPr>
        <w:t>/2</w:t>
      </w:r>
      <w:r w:rsidR="00A05B17">
        <w:rPr>
          <w:rFonts w:cs="Arial"/>
          <w:bCs/>
          <w:szCs w:val="24"/>
        </w:rPr>
        <w:t>2</w:t>
      </w:r>
      <w:r>
        <w:rPr>
          <w:rFonts w:cs="Arial"/>
          <w:bCs/>
          <w:szCs w:val="24"/>
        </w:rPr>
        <w:t xml:space="preserve"> compared to 20</w:t>
      </w:r>
      <w:r w:rsidR="00A05B17">
        <w:rPr>
          <w:rFonts w:cs="Arial"/>
          <w:bCs/>
          <w:szCs w:val="24"/>
        </w:rPr>
        <w:t>20</w:t>
      </w:r>
      <w:r>
        <w:rPr>
          <w:rFonts w:cs="Arial"/>
          <w:bCs/>
          <w:szCs w:val="24"/>
        </w:rPr>
        <w:t>/2</w:t>
      </w:r>
      <w:r w:rsidR="00A05B17">
        <w:rPr>
          <w:rFonts w:cs="Arial"/>
          <w:bCs/>
          <w:szCs w:val="24"/>
        </w:rPr>
        <w:t>1</w:t>
      </w:r>
      <w:r>
        <w:rPr>
          <w:rFonts w:cs="Arial"/>
          <w:bCs/>
          <w:szCs w:val="24"/>
        </w:rPr>
        <w:t xml:space="preserve">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B96C22" w:rsidRDefault="00813AB0" w:rsidP="00B96C22">
      <w:pPr>
        <w:pStyle w:val="ListParagraph"/>
        <w:tabs>
          <w:tab w:val="left" w:pos="567"/>
        </w:tabs>
        <w:ind w:left="567"/>
        <w:jc w:val="both"/>
        <w:rPr>
          <w:rFonts w:cs="Arial"/>
          <w:b/>
          <w:sz w:val="22"/>
          <w:szCs w:val="22"/>
        </w:rPr>
      </w:pPr>
      <w:r w:rsidRPr="00B96C22">
        <w:rPr>
          <w:rFonts w:cs="Arial"/>
          <w:b/>
          <w:sz w:val="22"/>
          <w:szCs w:val="22"/>
        </w:rPr>
        <w:t>Table 4: Financing costs as a proportion of net revenue stream</w:t>
      </w:r>
    </w:p>
    <w:p w14:paraId="753D13A0" w14:textId="00C57D8D" w:rsidR="00813AB0" w:rsidRPr="00E86AC2" w:rsidRDefault="00850932" w:rsidP="00813AB0">
      <w:pPr>
        <w:tabs>
          <w:tab w:val="left" w:pos="567"/>
        </w:tabs>
        <w:ind w:left="567"/>
        <w:jc w:val="both"/>
        <w:rPr>
          <w:rFonts w:ascii="Calibri" w:hAnsi="Calibri"/>
          <w:color w:val="0D0D0D" w:themeColor="text1" w:themeTint="F2"/>
          <w:szCs w:val="22"/>
        </w:rPr>
      </w:pPr>
      <w:r w:rsidRPr="00850932">
        <w:rPr>
          <w:noProof/>
        </w:rPr>
        <w:drawing>
          <wp:inline distT="0" distB="0" distL="0" distR="0" wp14:anchorId="5813A9E9" wp14:editId="3E752396">
            <wp:extent cx="5015433" cy="1128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9715" cy="1136298"/>
                    </a:xfrm>
                    <a:prstGeom prst="rect">
                      <a:avLst/>
                    </a:prstGeom>
                    <a:noFill/>
                    <a:ln>
                      <a:noFill/>
                    </a:ln>
                  </pic:spPr>
                </pic:pic>
              </a:graphicData>
            </a:graphic>
          </wp:inline>
        </w:drawing>
      </w:r>
    </w:p>
    <w:p w14:paraId="7E372B29" w14:textId="77777777" w:rsidR="00813AB0" w:rsidRDefault="00813AB0" w:rsidP="007F4445">
      <w:pPr>
        <w:pStyle w:val="ListParagraph"/>
        <w:tabs>
          <w:tab w:val="left" w:pos="567"/>
          <w:tab w:val="left" w:pos="7245"/>
        </w:tabs>
        <w:ind w:left="567"/>
        <w:jc w:val="both"/>
        <w:rPr>
          <w:rFonts w:cs="Arial"/>
          <w:bCs/>
          <w:szCs w:val="24"/>
          <w:u w:val="single"/>
        </w:rPr>
      </w:pPr>
    </w:p>
    <w:p w14:paraId="2CFE2E12" w14:textId="20086C80"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7C792031" w:rsidR="00D515EE" w:rsidRPr="00D515EE" w:rsidRDefault="00A3549A" w:rsidP="00D515EE">
      <w:pPr>
        <w:pStyle w:val="ListParagraph"/>
        <w:numPr>
          <w:ilvl w:val="0"/>
          <w:numId w:val="22"/>
        </w:numPr>
        <w:tabs>
          <w:tab w:val="left" w:pos="567"/>
          <w:tab w:val="left" w:pos="7245"/>
        </w:tabs>
        <w:ind w:left="567" w:hanging="567"/>
        <w:jc w:val="both"/>
        <w:rPr>
          <w:rFonts w:cs="Arial"/>
          <w:bCs/>
          <w:szCs w:val="24"/>
        </w:rPr>
      </w:pPr>
      <w:r>
        <w:rPr>
          <w:rFonts w:cs="Arial"/>
          <w:bCs/>
          <w:szCs w:val="24"/>
        </w:rPr>
        <w:lastRenderedPageBreak/>
        <w:t>The Authorised Limit for 2021/22</w:t>
      </w:r>
      <w:r w:rsidR="00734372">
        <w:rPr>
          <w:rFonts w:cs="Arial"/>
          <w:bCs/>
          <w:szCs w:val="24"/>
        </w:rPr>
        <w:t xml:space="preserve"> was originally </w:t>
      </w:r>
      <w:r>
        <w:rPr>
          <w:rFonts w:cs="Arial"/>
          <w:bCs/>
          <w:szCs w:val="24"/>
        </w:rPr>
        <w:t xml:space="preserve">set </w:t>
      </w:r>
      <w:r w:rsidR="00734372">
        <w:rPr>
          <w:rFonts w:cs="Arial"/>
          <w:bCs/>
          <w:szCs w:val="24"/>
        </w:rPr>
        <w:t xml:space="preserve">as part of the 2021/22 TMSS </w:t>
      </w:r>
      <w:r>
        <w:rPr>
          <w:rFonts w:cs="Arial"/>
          <w:bCs/>
          <w:szCs w:val="24"/>
        </w:rPr>
        <w:t xml:space="preserve">at a total of £724m for borrowing and other </w:t>
      </w:r>
      <w:proofErr w:type="gramStart"/>
      <w:r>
        <w:rPr>
          <w:rFonts w:cs="Arial"/>
          <w:bCs/>
          <w:szCs w:val="24"/>
        </w:rPr>
        <w:t>long term</w:t>
      </w:r>
      <w:proofErr w:type="gramEnd"/>
      <w:r>
        <w:rPr>
          <w:rFonts w:cs="Arial"/>
          <w:bCs/>
          <w:szCs w:val="24"/>
        </w:rPr>
        <w:t xml:space="preserve"> liabilities.</w:t>
      </w:r>
      <w:r w:rsidR="00D515EE" w:rsidRPr="00D515EE">
        <w:rPr>
          <w:rFonts w:cs="Arial"/>
          <w:bCs/>
          <w:szCs w:val="24"/>
        </w:rPr>
        <w:t xml:space="preserve"> </w:t>
      </w:r>
      <w:r w:rsidR="00734372">
        <w:rPr>
          <w:rFonts w:cs="Arial"/>
          <w:bCs/>
          <w:szCs w:val="24"/>
        </w:rPr>
        <w:t>I</w:t>
      </w:r>
      <w:r w:rsidR="00D515EE" w:rsidRPr="00D515EE">
        <w:rPr>
          <w:rFonts w:cs="Arial"/>
          <w:bCs/>
          <w:szCs w:val="24"/>
        </w:rPr>
        <w:t xml:space="preserve">n light of the revised capital </w:t>
      </w:r>
      <w:proofErr w:type="gramStart"/>
      <w:r w:rsidR="00D515EE" w:rsidRPr="00D515EE">
        <w:rPr>
          <w:rFonts w:cs="Arial"/>
          <w:bCs/>
          <w:szCs w:val="24"/>
        </w:rPr>
        <w:t>programme</w:t>
      </w:r>
      <w:r w:rsidR="00734372">
        <w:rPr>
          <w:rFonts w:cs="Arial"/>
          <w:bCs/>
          <w:szCs w:val="24"/>
        </w:rPr>
        <w:t>,  as</w:t>
      </w:r>
      <w:proofErr w:type="gramEnd"/>
      <w:r w:rsidR="00734372">
        <w:rPr>
          <w:rFonts w:cs="Arial"/>
          <w:bCs/>
          <w:szCs w:val="24"/>
        </w:rPr>
        <w:t xml:space="preserve"> part of </w:t>
      </w:r>
      <w:r w:rsidR="00734372" w:rsidRPr="00D515EE">
        <w:rPr>
          <w:rFonts w:cs="Arial"/>
          <w:bCs/>
          <w:szCs w:val="24"/>
        </w:rPr>
        <w:t>the 202</w:t>
      </w:r>
      <w:r w:rsidR="00734372">
        <w:rPr>
          <w:rFonts w:cs="Arial"/>
          <w:bCs/>
          <w:szCs w:val="24"/>
        </w:rPr>
        <w:t>2</w:t>
      </w:r>
      <w:r w:rsidR="00734372" w:rsidRPr="00D515EE">
        <w:rPr>
          <w:rFonts w:cs="Arial"/>
          <w:bCs/>
          <w:szCs w:val="24"/>
        </w:rPr>
        <w:t>/2</w:t>
      </w:r>
      <w:r w:rsidR="00734372">
        <w:rPr>
          <w:rFonts w:cs="Arial"/>
          <w:bCs/>
          <w:szCs w:val="24"/>
        </w:rPr>
        <w:t>3</w:t>
      </w:r>
      <w:r w:rsidR="00734372" w:rsidRPr="00D515EE">
        <w:rPr>
          <w:rFonts w:cs="Arial"/>
          <w:bCs/>
          <w:szCs w:val="24"/>
        </w:rPr>
        <w:t xml:space="preserve"> TMSS</w:t>
      </w:r>
      <w:r w:rsidR="00734372">
        <w:rPr>
          <w:rFonts w:cs="Arial"/>
          <w:bCs/>
          <w:szCs w:val="24"/>
        </w:rPr>
        <w:t xml:space="preserve"> which went to Cabinet in February 2022</w:t>
      </w:r>
      <w:r w:rsidR="00D515EE" w:rsidRPr="00D515EE">
        <w:rPr>
          <w:rFonts w:cs="Arial"/>
          <w:bCs/>
          <w:szCs w:val="24"/>
        </w:rPr>
        <w:t>, the 202</w:t>
      </w:r>
      <w:r w:rsidR="00845797">
        <w:rPr>
          <w:rFonts w:cs="Arial"/>
          <w:bCs/>
          <w:szCs w:val="24"/>
        </w:rPr>
        <w:t>1</w:t>
      </w:r>
      <w:r w:rsidR="00D515EE" w:rsidRPr="00D515EE">
        <w:rPr>
          <w:rFonts w:cs="Arial"/>
          <w:bCs/>
          <w:szCs w:val="24"/>
        </w:rPr>
        <w:t>/2</w:t>
      </w:r>
      <w:r w:rsidR="00845797">
        <w:rPr>
          <w:rFonts w:cs="Arial"/>
          <w:bCs/>
          <w:szCs w:val="24"/>
        </w:rPr>
        <w:t>2</w:t>
      </w:r>
      <w:r w:rsidR="00D515EE" w:rsidRPr="00D515EE">
        <w:rPr>
          <w:rFonts w:cs="Arial"/>
          <w:bCs/>
          <w:szCs w:val="24"/>
        </w:rPr>
        <w:t xml:space="preserve"> </w:t>
      </w:r>
      <w:r w:rsidR="000279A2" w:rsidRPr="00D515EE">
        <w:rPr>
          <w:rFonts w:cs="Arial"/>
          <w:bCs/>
          <w:szCs w:val="24"/>
        </w:rPr>
        <w:t>Authorised</w:t>
      </w:r>
      <w:r w:rsidR="00D515EE" w:rsidRPr="00D515EE">
        <w:rPr>
          <w:rFonts w:cs="Arial"/>
          <w:bCs/>
          <w:szCs w:val="24"/>
        </w:rPr>
        <w:t xml:space="preserve"> Limit was </w:t>
      </w:r>
      <w:r w:rsidR="00734372">
        <w:rPr>
          <w:rFonts w:cs="Arial"/>
          <w:bCs/>
          <w:szCs w:val="24"/>
        </w:rPr>
        <w:t xml:space="preserve">revised </w:t>
      </w:r>
      <w:r w:rsidR="00D515EE" w:rsidRPr="00D515EE">
        <w:rPr>
          <w:rFonts w:cs="Arial"/>
          <w:bCs/>
          <w:szCs w:val="24"/>
        </w:rPr>
        <w:t>to £6</w:t>
      </w:r>
      <w:r w:rsidR="00845797">
        <w:rPr>
          <w:rFonts w:cs="Arial"/>
          <w:bCs/>
          <w:szCs w:val="24"/>
        </w:rPr>
        <w:t>88</w:t>
      </w:r>
      <w:r w:rsidR="00D515EE" w:rsidRPr="00D515EE">
        <w:rPr>
          <w:rFonts w:cs="Arial"/>
          <w:bCs/>
          <w:szCs w:val="24"/>
        </w:rPr>
        <w:t>m consisting of £6</w:t>
      </w:r>
      <w:r w:rsidR="00845797">
        <w:rPr>
          <w:rFonts w:cs="Arial"/>
          <w:bCs/>
          <w:szCs w:val="24"/>
        </w:rPr>
        <w:t>60</w:t>
      </w:r>
      <w:r w:rsidR="00D515EE" w:rsidRPr="00D515EE">
        <w:rPr>
          <w:rFonts w:cs="Arial"/>
          <w:bCs/>
          <w:szCs w:val="24"/>
        </w:rPr>
        <w:t>m (</w:t>
      </w:r>
      <w:r w:rsidR="008D3FFB">
        <w:rPr>
          <w:rFonts w:cs="Arial"/>
          <w:bCs/>
          <w:szCs w:val="24"/>
        </w:rPr>
        <w:t>b</w:t>
      </w:r>
      <w:r w:rsidR="00D515EE" w:rsidRPr="00D515EE">
        <w:rPr>
          <w:rFonts w:cs="Arial"/>
          <w:bCs/>
          <w:szCs w:val="24"/>
        </w:rPr>
        <w:t>orrowing) and £2</w:t>
      </w:r>
      <w:r w:rsidR="00845797">
        <w:rPr>
          <w:rFonts w:cs="Arial"/>
          <w:bCs/>
          <w:szCs w:val="24"/>
        </w:rPr>
        <w:t>8</w:t>
      </w:r>
      <w:r w:rsidR="00D515EE" w:rsidRPr="00D515EE">
        <w:rPr>
          <w:rFonts w:cs="Arial"/>
          <w:bCs/>
          <w:szCs w:val="24"/>
        </w:rPr>
        <w:t>m (</w:t>
      </w:r>
      <w:r w:rsidR="008D3FFB">
        <w:rPr>
          <w:rFonts w:cs="Arial"/>
          <w:bCs/>
          <w:szCs w:val="24"/>
        </w:rPr>
        <w:t>o</w:t>
      </w:r>
      <w:r w:rsidR="00D515EE" w:rsidRPr="00D515EE">
        <w:rPr>
          <w:rFonts w:cs="Arial"/>
          <w:bCs/>
          <w:szCs w:val="24"/>
        </w:rPr>
        <w:t xml:space="preserve">ther </w:t>
      </w:r>
      <w:r w:rsidR="008D3FFB">
        <w:rPr>
          <w:rFonts w:cs="Arial"/>
          <w:bCs/>
          <w:szCs w:val="24"/>
        </w:rPr>
        <w:t>l</w:t>
      </w:r>
      <w:r w:rsidR="00D515EE" w:rsidRPr="00D515EE">
        <w:rPr>
          <w:rFonts w:cs="Arial"/>
          <w:bCs/>
          <w:szCs w:val="24"/>
        </w:rPr>
        <w:t xml:space="preserve">ong </w:t>
      </w:r>
      <w:r w:rsidR="008D3FFB">
        <w:rPr>
          <w:rFonts w:cs="Arial"/>
          <w:bCs/>
          <w:szCs w:val="24"/>
        </w:rPr>
        <w:t>t</w:t>
      </w:r>
      <w:r w:rsidR="00D515EE" w:rsidRPr="00D515EE">
        <w:rPr>
          <w:rFonts w:cs="Arial"/>
          <w:bCs/>
          <w:szCs w:val="24"/>
        </w:rPr>
        <w:t xml:space="preserve">erm </w:t>
      </w:r>
      <w:r w:rsidR="008D3FFB">
        <w:rPr>
          <w:rFonts w:cs="Arial"/>
          <w:bCs/>
          <w:szCs w:val="24"/>
        </w:rPr>
        <w:t>l</w:t>
      </w:r>
      <w:r w:rsidR="00D515EE" w:rsidRPr="00D515EE">
        <w:rPr>
          <w:rFonts w:cs="Arial"/>
          <w:bCs/>
          <w:szCs w:val="24"/>
        </w:rPr>
        <w:t>iabilities</w:t>
      </w:r>
      <w:r w:rsidR="006F15EC">
        <w:rPr>
          <w:rFonts w:cs="Arial"/>
          <w:bCs/>
          <w:szCs w:val="24"/>
        </w:rPr>
        <w:t>)</w:t>
      </w:r>
      <w:r w:rsidR="00734372">
        <w:rPr>
          <w:rFonts w:cs="Arial"/>
          <w:bCs/>
          <w:szCs w:val="24"/>
        </w:rPr>
        <w:t>.</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4D074200" w:rsidR="004E536E" w:rsidRPr="007F4445" w:rsidRDefault="008E0D0E" w:rsidP="00787761">
      <w:pPr>
        <w:pStyle w:val="ListParagraph"/>
        <w:numPr>
          <w:ilvl w:val="0"/>
          <w:numId w:val="22"/>
        </w:numPr>
        <w:tabs>
          <w:tab w:val="left" w:pos="567"/>
          <w:tab w:val="left" w:pos="7245"/>
        </w:tabs>
        <w:ind w:left="567" w:hanging="567"/>
        <w:jc w:val="both"/>
        <w:rPr>
          <w:rFonts w:cs="Arial"/>
          <w:bCs/>
          <w:szCs w:val="24"/>
        </w:rPr>
      </w:pPr>
      <w:bookmarkStart w:id="0" w:name="_Hlk106715336"/>
      <w:r>
        <w:rPr>
          <w:rFonts w:cs="Arial"/>
          <w:bCs/>
          <w:szCs w:val="24"/>
        </w:rPr>
        <w:t>With a gross borrowing figure of £439.8m, t</w:t>
      </w:r>
      <w:r w:rsidR="004E536E" w:rsidRPr="007F4445">
        <w:rPr>
          <w:rFonts w:cs="Arial"/>
          <w:bCs/>
          <w:szCs w:val="24"/>
        </w:rPr>
        <w:t xml:space="preserve">he table below demonstrates that during </w:t>
      </w:r>
      <w:r w:rsidR="008D3FFB">
        <w:rPr>
          <w:rFonts w:cs="Arial"/>
          <w:bCs/>
          <w:szCs w:val="24"/>
        </w:rPr>
        <w:t>202</w:t>
      </w:r>
      <w:r w:rsidR="00845797">
        <w:rPr>
          <w:rFonts w:cs="Arial"/>
          <w:bCs/>
          <w:szCs w:val="24"/>
        </w:rPr>
        <w:t>1</w:t>
      </w:r>
      <w:r w:rsidR="008D3FFB">
        <w:rPr>
          <w:rFonts w:cs="Arial"/>
          <w:bCs/>
          <w:szCs w:val="24"/>
        </w:rPr>
        <w:t>/2</w:t>
      </w:r>
      <w:r w:rsidR="00845797">
        <w:rPr>
          <w:rFonts w:cs="Arial"/>
          <w:bCs/>
          <w:szCs w:val="24"/>
        </w:rPr>
        <w:t>2</w:t>
      </w:r>
      <w:r w:rsidR="004E536E" w:rsidRPr="007F4445">
        <w:rPr>
          <w:rFonts w:cs="Arial"/>
          <w:bCs/>
          <w:szCs w:val="24"/>
        </w:rPr>
        <w:t xml:space="preserve"> the Council has maintained gross borrowing</w:t>
      </w:r>
      <w:r w:rsidR="00D515EE">
        <w:rPr>
          <w:rFonts w:cs="Arial"/>
          <w:bCs/>
          <w:szCs w:val="24"/>
        </w:rPr>
        <w:t xml:space="preserve"> </w:t>
      </w:r>
      <w:r w:rsidR="004E536E" w:rsidRPr="007F4445">
        <w:rPr>
          <w:rFonts w:cs="Arial"/>
          <w:bCs/>
          <w:szCs w:val="24"/>
        </w:rPr>
        <w:t xml:space="preserve">within its Authorised Limit. </w:t>
      </w:r>
    </w:p>
    <w:bookmarkEnd w:id="0"/>
    <w:p w14:paraId="3D7F425E" w14:textId="5621ED35" w:rsidR="004E536E" w:rsidRDefault="004E536E" w:rsidP="004E536E">
      <w:pPr>
        <w:pStyle w:val="ListParagraph"/>
        <w:tabs>
          <w:tab w:val="left" w:pos="567"/>
        </w:tabs>
        <w:ind w:left="567"/>
        <w:jc w:val="both"/>
        <w:rPr>
          <w:rFonts w:cs="Arial"/>
          <w:bCs/>
          <w:szCs w:val="24"/>
        </w:rPr>
      </w:pPr>
    </w:p>
    <w:p w14:paraId="4875A1EB" w14:textId="761C0A9D" w:rsidR="007935C5" w:rsidRPr="00B96C22" w:rsidRDefault="004E536E" w:rsidP="004E536E">
      <w:pPr>
        <w:tabs>
          <w:tab w:val="left" w:pos="7245"/>
        </w:tabs>
        <w:ind w:left="567"/>
        <w:jc w:val="both"/>
        <w:rPr>
          <w:sz w:val="20"/>
        </w:rPr>
      </w:pPr>
      <w:r w:rsidRPr="00C61C3A">
        <w:rPr>
          <w:sz w:val="20"/>
        </w:rPr>
        <w:t xml:space="preserve">Table </w:t>
      </w:r>
      <w:r w:rsidR="008D3FFB" w:rsidRPr="00C61C3A">
        <w:rPr>
          <w:sz w:val="20"/>
        </w:rPr>
        <w:t>5</w:t>
      </w:r>
      <w:r w:rsidRPr="00C61C3A">
        <w:rPr>
          <w:sz w:val="20"/>
        </w:rPr>
        <w:t>: Authorised Limit</w:t>
      </w:r>
    </w:p>
    <w:p w14:paraId="2CD02E1C" w14:textId="581707E5" w:rsidR="008E0D0E" w:rsidRPr="00C61C3A" w:rsidRDefault="008E0D0E" w:rsidP="004E536E">
      <w:pPr>
        <w:tabs>
          <w:tab w:val="left" w:pos="7245"/>
        </w:tabs>
        <w:ind w:left="567"/>
        <w:jc w:val="both"/>
        <w:rPr>
          <w:sz w:val="20"/>
        </w:rPr>
      </w:pPr>
      <w:r w:rsidRPr="00B96C22">
        <w:rPr>
          <w:noProof/>
        </w:rPr>
        <w:drawing>
          <wp:inline distT="0" distB="0" distL="0" distR="0" wp14:anchorId="0B6F7A3D" wp14:editId="6A52AF24">
            <wp:extent cx="5167085" cy="1146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229" cy="1148174"/>
                    </a:xfrm>
                    <a:prstGeom prst="rect">
                      <a:avLst/>
                    </a:prstGeom>
                    <a:noFill/>
                    <a:ln>
                      <a:noFill/>
                    </a:ln>
                  </pic:spPr>
                </pic:pic>
              </a:graphicData>
            </a:graphic>
          </wp:inline>
        </w:drawing>
      </w:r>
    </w:p>
    <w:p w14:paraId="49425499" w14:textId="522363C2" w:rsidR="0054590F" w:rsidRDefault="0054590F" w:rsidP="004E536E">
      <w:pPr>
        <w:tabs>
          <w:tab w:val="left" w:pos="7245"/>
        </w:tabs>
        <w:ind w:left="567"/>
        <w:jc w:val="both"/>
        <w:rPr>
          <w:color w:val="FF0000"/>
          <w:szCs w:val="24"/>
        </w:rPr>
      </w:pPr>
    </w:p>
    <w:p w14:paraId="487F2F60" w14:textId="4E655EB0" w:rsidR="004E536E" w:rsidRDefault="004E536E" w:rsidP="004E536E">
      <w:pPr>
        <w:tabs>
          <w:tab w:val="left" w:pos="7245"/>
        </w:tabs>
        <w:ind w:left="567"/>
        <w:jc w:val="both"/>
        <w:rPr>
          <w:color w:val="FF0000"/>
          <w:szCs w:val="24"/>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31356712" w14:textId="611F258E" w:rsidR="007C2C6D" w:rsidRDefault="004E536E">
      <w:pPr>
        <w:pStyle w:val="ListParagraph"/>
        <w:numPr>
          <w:ilvl w:val="0"/>
          <w:numId w:val="22"/>
        </w:numPr>
        <w:tabs>
          <w:tab w:val="left" w:pos="567"/>
        </w:tabs>
        <w:ind w:left="567" w:hanging="567"/>
        <w:jc w:val="both"/>
        <w:rPr>
          <w:rFonts w:cs="Arial"/>
          <w:bCs/>
          <w:szCs w:val="24"/>
        </w:rPr>
      </w:pPr>
      <w:r w:rsidRPr="00845797">
        <w:rPr>
          <w:rFonts w:cs="Arial"/>
          <w:bCs/>
          <w:szCs w:val="24"/>
        </w:rPr>
        <w:t>The Operational Boundary is the expected borrowing position of the Council during the year.  Periods where the actual position is either below or over the boundary are acceptable subject to the Authorised Limit not being breached</w:t>
      </w:r>
      <w:r w:rsidR="00C90473">
        <w:rPr>
          <w:rFonts w:cs="Arial"/>
          <w:bCs/>
          <w:szCs w:val="24"/>
        </w:rPr>
        <w:t>.</w:t>
      </w:r>
    </w:p>
    <w:p w14:paraId="17A2578E" w14:textId="77777777" w:rsidR="00C90473" w:rsidRPr="00845797" w:rsidRDefault="00C90473" w:rsidP="00C61C3A">
      <w:pPr>
        <w:pStyle w:val="ListParagraph"/>
        <w:tabs>
          <w:tab w:val="left" w:pos="567"/>
        </w:tabs>
        <w:ind w:left="567"/>
        <w:jc w:val="both"/>
        <w:rPr>
          <w:rFonts w:cs="Arial"/>
          <w:bCs/>
          <w:szCs w:val="24"/>
        </w:rPr>
      </w:pPr>
    </w:p>
    <w:p w14:paraId="23F40700" w14:textId="75E6C8C7" w:rsid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t>
      </w:r>
      <w:r w:rsidR="00845797">
        <w:rPr>
          <w:rFonts w:cs="Arial"/>
          <w:bCs/>
          <w:szCs w:val="24"/>
        </w:rPr>
        <w:t xml:space="preserve">for 2021/22 </w:t>
      </w:r>
      <w:r w:rsidR="008D3FFB">
        <w:rPr>
          <w:rFonts w:cs="Arial"/>
          <w:bCs/>
          <w:szCs w:val="24"/>
        </w:rPr>
        <w:t>was originally set as part of the 202</w:t>
      </w:r>
      <w:r w:rsidR="00845797">
        <w:rPr>
          <w:rFonts w:cs="Arial"/>
          <w:bCs/>
          <w:szCs w:val="24"/>
        </w:rPr>
        <w:t>1</w:t>
      </w:r>
      <w:r w:rsidR="008D3FFB">
        <w:rPr>
          <w:rFonts w:cs="Arial"/>
          <w:bCs/>
          <w:szCs w:val="24"/>
        </w:rPr>
        <w:t>/2</w:t>
      </w:r>
      <w:r w:rsidR="00845797">
        <w:rPr>
          <w:rFonts w:cs="Arial"/>
          <w:bCs/>
          <w:szCs w:val="24"/>
        </w:rPr>
        <w:t>2</w:t>
      </w:r>
      <w:r w:rsidR="008D3FFB">
        <w:rPr>
          <w:rFonts w:cs="Arial"/>
          <w:bCs/>
          <w:szCs w:val="24"/>
        </w:rPr>
        <w:t xml:space="preserve"> TMSS at a total of £6</w:t>
      </w:r>
      <w:r w:rsidR="0072357A">
        <w:rPr>
          <w:rFonts w:cs="Arial"/>
          <w:bCs/>
          <w:szCs w:val="24"/>
        </w:rPr>
        <w:t>83</w:t>
      </w:r>
      <w:r w:rsidR="008D3FFB">
        <w:rPr>
          <w:rFonts w:cs="Arial"/>
          <w:bCs/>
          <w:szCs w:val="24"/>
        </w:rPr>
        <w:t>m.  This</w:t>
      </w:r>
      <w:r>
        <w:rPr>
          <w:rFonts w:cs="Arial"/>
          <w:bCs/>
          <w:szCs w:val="24"/>
        </w:rPr>
        <w:t xml:space="preserve"> was revised to reflect the revised capital programme as part of the 202</w:t>
      </w:r>
      <w:r w:rsidR="00845797">
        <w:rPr>
          <w:rFonts w:cs="Arial"/>
          <w:bCs/>
          <w:szCs w:val="24"/>
        </w:rPr>
        <w:t>2</w:t>
      </w:r>
      <w:r>
        <w:rPr>
          <w:rFonts w:cs="Arial"/>
          <w:bCs/>
          <w:szCs w:val="24"/>
        </w:rPr>
        <w:t>/2</w:t>
      </w:r>
      <w:r w:rsidR="0072357A">
        <w:rPr>
          <w:rFonts w:cs="Arial"/>
          <w:bCs/>
          <w:szCs w:val="24"/>
        </w:rPr>
        <w:t>3</w:t>
      </w:r>
      <w:r>
        <w:rPr>
          <w:rFonts w:cs="Arial"/>
          <w:bCs/>
          <w:szCs w:val="24"/>
        </w:rPr>
        <w:t xml:space="preserve"> TMSS to</w:t>
      </w:r>
      <w:r w:rsidR="00EE3EF6">
        <w:rPr>
          <w:rFonts w:cs="Arial"/>
          <w:bCs/>
          <w:szCs w:val="24"/>
        </w:rPr>
        <w:t xml:space="preserve"> </w:t>
      </w:r>
      <w:r w:rsidR="008D3FFB">
        <w:rPr>
          <w:rFonts w:cs="Arial"/>
          <w:bCs/>
          <w:szCs w:val="24"/>
        </w:rPr>
        <w:t>£6</w:t>
      </w:r>
      <w:r w:rsidR="0072357A">
        <w:rPr>
          <w:rFonts w:cs="Arial"/>
          <w:bCs/>
          <w:szCs w:val="24"/>
        </w:rPr>
        <w:t>48</w:t>
      </w:r>
      <w:r w:rsidR="008D3FFB">
        <w:rPr>
          <w:rFonts w:cs="Arial"/>
          <w:bCs/>
          <w:szCs w:val="24"/>
        </w:rPr>
        <w:t>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w:t>
      </w:r>
      <w:r w:rsidR="0072357A">
        <w:rPr>
          <w:rFonts w:cs="Arial"/>
          <w:bCs/>
          <w:szCs w:val="24"/>
        </w:rPr>
        <w:t>630</w:t>
      </w:r>
      <w:r w:rsidRPr="0037216F">
        <w:rPr>
          <w:rFonts w:cs="Arial"/>
          <w:bCs/>
          <w:szCs w:val="24"/>
        </w:rPr>
        <w:t>m (</w:t>
      </w:r>
      <w:r w:rsidR="008D3FFB">
        <w:rPr>
          <w:rFonts w:cs="Arial"/>
          <w:bCs/>
          <w:szCs w:val="24"/>
        </w:rPr>
        <w:t>b</w:t>
      </w:r>
      <w:r w:rsidRPr="0037216F">
        <w:rPr>
          <w:rFonts w:cs="Arial"/>
          <w:bCs/>
          <w:szCs w:val="24"/>
        </w:rPr>
        <w:t>orrowing) and £1</w:t>
      </w:r>
      <w:r w:rsidR="0072357A">
        <w:rPr>
          <w:rFonts w:cs="Arial"/>
          <w:bCs/>
          <w:szCs w:val="24"/>
        </w:rPr>
        <w:t>8</w:t>
      </w:r>
      <w:r w:rsidRPr="0037216F">
        <w:rPr>
          <w:rFonts w:cs="Arial"/>
          <w:bCs/>
          <w:szCs w:val="24"/>
        </w:rPr>
        <w:t>m (</w:t>
      </w:r>
      <w:r w:rsidR="008D3FFB">
        <w:rPr>
          <w:rFonts w:cs="Arial"/>
          <w:bCs/>
          <w:szCs w:val="24"/>
        </w:rPr>
        <w:t>o</w:t>
      </w:r>
      <w:r w:rsidRPr="0037216F">
        <w:rPr>
          <w:rFonts w:cs="Arial"/>
          <w:bCs/>
          <w:szCs w:val="24"/>
        </w:rPr>
        <w:t xml:space="preserve">ther </w:t>
      </w:r>
      <w:proofErr w:type="gramStart"/>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erm</w:t>
      </w:r>
      <w:proofErr w:type="gramEnd"/>
      <w:r w:rsidRPr="0037216F">
        <w:rPr>
          <w:rFonts w:cs="Arial"/>
          <w:bCs/>
          <w:szCs w:val="24"/>
        </w:rPr>
        <w:t xml:space="preserve"> </w:t>
      </w:r>
      <w:r w:rsidR="008D3FFB">
        <w:rPr>
          <w:rFonts w:cs="Arial"/>
          <w:bCs/>
          <w:szCs w:val="24"/>
        </w:rPr>
        <w:t>l</w:t>
      </w:r>
      <w:r w:rsidRPr="0037216F">
        <w:rPr>
          <w:rFonts w:cs="Arial"/>
          <w:bCs/>
          <w:szCs w:val="24"/>
        </w:rPr>
        <w:t>iabilities)</w:t>
      </w:r>
      <w:r w:rsidR="007C2C6D">
        <w:rPr>
          <w:rFonts w:cs="Arial"/>
          <w:bCs/>
          <w:szCs w:val="24"/>
        </w:rPr>
        <w:t>.</w:t>
      </w:r>
    </w:p>
    <w:p w14:paraId="620CFF01" w14:textId="77777777" w:rsidR="008E0D0E" w:rsidRPr="00C61C3A" w:rsidRDefault="008E0D0E" w:rsidP="00B96C22">
      <w:pPr>
        <w:pStyle w:val="ListParagraph"/>
        <w:rPr>
          <w:rFonts w:cs="Arial"/>
          <w:bCs/>
          <w:szCs w:val="24"/>
        </w:rPr>
      </w:pPr>
    </w:p>
    <w:p w14:paraId="10878FC0" w14:textId="1D0976E1" w:rsidR="008E0D0E" w:rsidRPr="00C61C3A" w:rsidRDefault="008E0D0E" w:rsidP="00B96C22">
      <w:pPr>
        <w:pStyle w:val="ListParagraph"/>
        <w:numPr>
          <w:ilvl w:val="1"/>
          <w:numId w:val="41"/>
        </w:numPr>
        <w:tabs>
          <w:tab w:val="left" w:pos="7245"/>
        </w:tabs>
        <w:ind w:left="567" w:hanging="567"/>
        <w:jc w:val="both"/>
        <w:rPr>
          <w:rFonts w:cs="Arial"/>
          <w:bCs/>
          <w:szCs w:val="24"/>
        </w:rPr>
      </w:pPr>
      <w:r w:rsidRPr="0062396F">
        <w:rPr>
          <w:rFonts w:cs="Arial"/>
          <w:bCs/>
          <w:szCs w:val="24"/>
        </w:rPr>
        <w:t>Wi</w:t>
      </w:r>
      <w:r w:rsidRPr="00E84785">
        <w:rPr>
          <w:rFonts w:cs="Arial"/>
          <w:bCs/>
          <w:szCs w:val="24"/>
        </w:rPr>
        <w:t xml:space="preserve">th a gross borrowing figure of £439.8m, the table below demonstrates that during 2021/22 the Council has maintained gross borrowing within its </w:t>
      </w:r>
      <w:r>
        <w:rPr>
          <w:rFonts w:cs="Arial"/>
          <w:bCs/>
          <w:szCs w:val="24"/>
        </w:rPr>
        <w:t>Operational Boundary</w:t>
      </w:r>
      <w:r w:rsidRPr="00C61C3A">
        <w:rPr>
          <w:rFonts w:cs="Arial"/>
          <w:bCs/>
          <w:szCs w:val="24"/>
        </w:rPr>
        <w:t xml:space="preserve"> Limit.</w:t>
      </w:r>
    </w:p>
    <w:p w14:paraId="332D0B08" w14:textId="0F1C9F68" w:rsidR="008E0D0E" w:rsidRPr="00C61C3A" w:rsidRDefault="008E0D0E" w:rsidP="00B96C22">
      <w:pPr>
        <w:tabs>
          <w:tab w:val="left" w:pos="567"/>
          <w:tab w:val="left" w:pos="7245"/>
        </w:tabs>
        <w:jc w:val="both"/>
        <w:rPr>
          <w:rFonts w:cs="Arial"/>
          <w:bCs/>
          <w:szCs w:val="24"/>
        </w:rPr>
      </w:pPr>
    </w:p>
    <w:p w14:paraId="5FFDE424" w14:textId="77777777" w:rsidR="0037216F" w:rsidRPr="007C2C6D" w:rsidRDefault="0037216F" w:rsidP="004E536E">
      <w:pPr>
        <w:tabs>
          <w:tab w:val="left" w:pos="7245"/>
        </w:tabs>
        <w:ind w:left="567"/>
        <w:jc w:val="both"/>
        <w:rPr>
          <w:szCs w:val="24"/>
        </w:rPr>
      </w:pPr>
    </w:p>
    <w:p w14:paraId="7DA097E6" w14:textId="5956EF97" w:rsidR="00EE3EF6" w:rsidRPr="00B96C22" w:rsidRDefault="004E536E" w:rsidP="00C61C3A">
      <w:pPr>
        <w:tabs>
          <w:tab w:val="left" w:pos="7245"/>
        </w:tabs>
        <w:ind w:left="567"/>
        <w:jc w:val="both"/>
        <w:rPr>
          <w:sz w:val="20"/>
        </w:rPr>
      </w:pPr>
      <w:r w:rsidRPr="00C61C3A">
        <w:rPr>
          <w:sz w:val="20"/>
        </w:rPr>
        <w:t xml:space="preserve">Table </w:t>
      </w:r>
      <w:r w:rsidR="007C2C6D" w:rsidRPr="00C61C3A">
        <w:rPr>
          <w:sz w:val="20"/>
        </w:rPr>
        <w:t>6</w:t>
      </w:r>
      <w:r w:rsidRPr="00C61C3A">
        <w:rPr>
          <w:sz w:val="20"/>
        </w:rPr>
        <w:t>: Operational Boundary</w:t>
      </w:r>
    </w:p>
    <w:p w14:paraId="5FB5700D" w14:textId="0064854F" w:rsidR="00EE3EF6" w:rsidRPr="00C61C3A" w:rsidRDefault="00EE3EF6" w:rsidP="004E536E">
      <w:pPr>
        <w:tabs>
          <w:tab w:val="left" w:pos="7245"/>
        </w:tabs>
        <w:ind w:left="567"/>
        <w:jc w:val="both"/>
        <w:rPr>
          <w:sz w:val="20"/>
        </w:rPr>
      </w:pPr>
      <w:r w:rsidRPr="00B96C22">
        <w:rPr>
          <w:noProof/>
        </w:rPr>
        <w:drawing>
          <wp:inline distT="0" distB="0" distL="0" distR="0" wp14:anchorId="39E9DD29" wp14:editId="6AFA7E05">
            <wp:extent cx="4992914" cy="11468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778" cy="1147468"/>
                    </a:xfrm>
                    <a:prstGeom prst="rect">
                      <a:avLst/>
                    </a:prstGeom>
                    <a:noFill/>
                    <a:ln>
                      <a:noFill/>
                    </a:ln>
                  </pic:spPr>
                </pic:pic>
              </a:graphicData>
            </a:graphic>
          </wp:inline>
        </w:drawing>
      </w:r>
    </w:p>
    <w:p w14:paraId="1F473BBA" w14:textId="0E57CF51" w:rsidR="004E536E" w:rsidRDefault="004E536E" w:rsidP="00B96C22">
      <w:pPr>
        <w:pStyle w:val="ListParagraph"/>
        <w:tabs>
          <w:tab w:val="left" w:pos="567"/>
        </w:tabs>
        <w:ind w:left="567"/>
        <w:jc w:val="both"/>
      </w:pPr>
    </w:p>
    <w:p w14:paraId="10B45FCE" w14:textId="2DA2CAB8"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 xml:space="preserve">Treasury Position as </w:t>
      </w:r>
      <w:proofErr w:type="gramStart"/>
      <w:r w:rsidR="004E536E">
        <w:rPr>
          <w:szCs w:val="24"/>
        </w:rPr>
        <w:t>at</w:t>
      </w:r>
      <w:proofErr w:type="gramEnd"/>
      <w:r w:rsidR="004E536E">
        <w:rPr>
          <w:szCs w:val="24"/>
        </w:rPr>
        <w:t xml:space="preserve"> 31 March 202</w:t>
      </w:r>
      <w:r w:rsidR="0072357A">
        <w:rPr>
          <w:szCs w:val="24"/>
        </w:rPr>
        <w:t>2</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2D634D26"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Council has maintained an internal borrowing strategy for </w:t>
      </w:r>
      <w:proofErr w:type="gramStart"/>
      <w:r w:rsidRPr="004E536E">
        <w:rPr>
          <w:rFonts w:cs="Arial"/>
          <w:bCs/>
          <w:szCs w:val="24"/>
        </w:rPr>
        <w:t>a number of</w:t>
      </w:r>
      <w:proofErr w:type="gramEnd"/>
      <w:r w:rsidRPr="004E536E">
        <w:rPr>
          <w:rFonts w:cs="Arial"/>
          <w:bCs/>
          <w:szCs w:val="24"/>
        </w:rPr>
        <w:t xml:space="preserve"> years, forgoing lost investment income on investments to use its cash balances to temporarily fund capital expenditure and avoid external borrowing costs.  This </w:t>
      </w:r>
      <w:r w:rsidRPr="004E536E">
        <w:rPr>
          <w:rFonts w:cs="Arial"/>
          <w:bCs/>
          <w:szCs w:val="24"/>
        </w:rPr>
        <w:lastRenderedPageBreak/>
        <w:t>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w:t>
      </w:r>
      <w:proofErr w:type="gramStart"/>
      <w:r w:rsidR="0037216F">
        <w:rPr>
          <w:rFonts w:cs="Arial"/>
          <w:bCs/>
          <w:szCs w:val="24"/>
        </w:rPr>
        <w:t>at</w:t>
      </w:r>
      <w:proofErr w:type="gramEnd"/>
      <w:r w:rsidR="0037216F">
        <w:rPr>
          <w:rFonts w:cs="Arial"/>
          <w:bCs/>
          <w:szCs w:val="24"/>
        </w:rPr>
        <w:t xml:space="preserve"> 31</w:t>
      </w:r>
      <w:r w:rsidR="0037216F" w:rsidRPr="0037216F">
        <w:rPr>
          <w:rFonts w:cs="Arial"/>
          <w:bCs/>
          <w:szCs w:val="24"/>
          <w:vertAlign w:val="superscript"/>
        </w:rPr>
        <w:t>st</w:t>
      </w:r>
      <w:r w:rsidR="0037216F">
        <w:rPr>
          <w:rFonts w:cs="Arial"/>
          <w:bCs/>
          <w:szCs w:val="24"/>
        </w:rPr>
        <w:t xml:space="preserve"> March 202</w:t>
      </w:r>
      <w:r w:rsidR="0072357A">
        <w:rPr>
          <w:rFonts w:cs="Arial"/>
          <w:bCs/>
          <w:szCs w:val="24"/>
        </w:rPr>
        <w:t>2</w:t>
      </w:r>
      <w:r w:rsidR="0037216F">
        <w:rPr>
          <w:rFonts w:cs="Arial"/>
          <w:bCs/>
          <w:szCs w:val="24"/>
        </w:rPr>
        <w:t xml:space="preserve"> </w:t>
      </w:r>
      <w:r w:rsidR="0037216F" w:rsidRPr="00C61C3A">
        <w:rPr>
          <w:rFonts w:cs="Arial"/>
          <w:bCs/>
          <w:szCs w:val="24"/>
        </w:rPr>
        <w:t>was £1</w:t>
      </w:r>
      <w:r w:rsidR="002306CD" w:rsidRPr="00B96C22">
        <w:rPr>
          <w:rFonts w:cs="Arial"/>
          <w:bCs/>
          <w:szCs w:val="24"/>
        </w:rPr>
        <w:t>50</w:t>
      </w:r>
      <w:r w:rsidR="0037216F" w:rsidRPr="002306CD">
        <w:rPr>
          <w:rFonts w:cs="Arial"/>
          <w:bCs/>
          <w:szCs w:val="24"/>
        </w:rPr>
        <w:t>m (£1</w:t>
      </w:r>
      <w:r w:rsidR="002306CD" w:rsidRPr="00B96C22">
        <w:rPr>
          <w:rFonts w:cs="Arial"/>
          <w:bCs/>
          <w:szCs w:val="24"/>
        </w:rPr>
        <w:t>33</w:t>
      </w:r>
      <w:r w:rsidR="0037216F" w:rsidRPr="002306CD">
        <w:rPr>
          <w:rFonts w:cs="Arial"/>
          <w:bCs/>
          <w:szCs w:val="24"/>
        </w:rPr>
        <w:t>m as at 31</w:t>
      </w:r>
      <w:r w:rsidR="0037216F" w:rsidRPr="002306CD">
        <w:rPr>
          <w:rFonts w:cs="Arial"/>
          <w:bCs/>
          <w:szCs w:val="24"/>
          <w:vertAlign w:val="superscript"/>
        </w:rPr>
        <w:t>st</w:t>
      </w:r>
      <w:r w:rsidR="0037216F" w:rsidRPr="002306CD">
        <w:rPr>
          <w:rFonts w:cs="Arial"/>
          <w:bCs/>
          <w:szCs w:val="24"/>
        </w:rPr>
        <w:t xml:space="preserve"> March 202</w:t>
      </w:r>
      <w:r w:rsidR="0072357A" w:rsidRPr="002306CD">
        <w:rPr>
          <w:rFonts w:cs="Arial"/>
          <w:bCs/>
          <w:szCs w:val="24"/>
        </w:rPr>
        <w:t>1</w:t>
      </w:r>
      <w:r w:rsidR="0037216F" w:rsidRPr="002306CD">
        <w:rPr>
          <w:rFonts w:cs="Arial"/>
          <w:bCs/>
          <w:szCs w:val="24"/>
        </w:rPr>
        <w:t>).</w:t>
      </w:r>
      <w:r w:rsidR="0037216F">
        <w:rPr>
          <w:rFonts w:cs="Arial"/>
          <w:bCs/>
          <w:szCs w:val="24"/>
        </w:rPr>
        <w:t xml:space="preserve">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7CB63576" w:rsidR="004E536E" w:rsidRPr="009F7AF8" w:rsidRDefault="00152ABB" w:rsidP="004E536E">
      <w:pPr>
        <w:pStyle w:val="ListParagraph"/>
        <w:numPr>
          <w:ilvl w:val="0"/>
          <w:numId w:val="23"/>
        </w:numPr>
        <w:tabs>
          <w:tab w:val="left" w:pos="567"/>
        </w:tabs>
        <w:ind w:left="567" w:hanging="567"/>
        <w:jc w:val="both"/>
        <w:rPr>
          <w:rFonts w:cs="Arial"/>
          <w:bCs/>
          <w:szCs w:val="24"/>
        </w:rPr>
      </w:pPr>
      <w:r w:rsidRPr="00C61C3A">
        <w:rPr>
          <w:rFonts w:cs="Arial"/>
          <w:bCs/>
          <w:szCs w:val="24"/>
        </w:rPr>
        <w:t>No additional external borrowing was undertaken during 202</w:t>
      </w:r>
      <w:r w:rsidR="0072357A" w:rsidRPr="00C61C3A">
        <w:rPr>
          <w:rFonts w:cs="Arial"/>
          <w:bCs/>
          <w:szCs w:val="24"/>
        </w:rPr>
        <w:t>1</w:t>
      </w:r>
      <w:r w:rsidRPr="009F7AF8">
        <w:rPr>
          <w:rFonts w:cs="Arial"/>
          <w:bCs/>
          <w:szCs w:val="24"/>
        </w:rPr>
        <w:t>/2</w:t>
      </w:r>
      <w:r w:rsidR="0072357A" w:rsidRPr="009F7AF8">
        <w:rPr>
          <w:rFonts w:cs="Arial"/>
          <w:bCs/>
          <w:szCs w:val="24"/>
        </w:rPr>
        <w:t>2</w:t>
      </w:r>
      <w:r w:rsidRPr="009F7AF8">
        <w:rPr>
          <w:rFonts w:cs="Arial"/>
          <w:bCs/>
          <w:szCs w:val="24"/>
        </w:rPr>
        <w:t>, and the Authority’s underlying need to borrow, measured by the increase in the Capital Financing Requirement</w:t>
      </w:r>
      <w:r w:rsidR="007C2C6D" w:rsidRPr="009F7AF8">
        <w:rPr>
          <w:rFonts w:cs="Arial"/>
          <w:bCs/>
          <w:szCs w:val="24"/>
        </w:rPr>
        <w:t xml:space="preserve">, </w:t>
      </w:r>
      <w:r w:rsidRPr="009F7AF8">
        <w:rPr>
          <w:rFonts w:cs="Arial"/>
          <w:bCs/>
          <w:szCs w:val="24"/>
        </w:rPr>
        <w:t>only showed a relatively small increase of £1</w:t>
      </w:r>
      <w:r w:rsidR="002306CD" w:rsidRPr="00B96C22">
        <w:rPr>
          <w:rFonts w:cs="Arial"/>
          <w:bCs/>
          <w:szCs w:val="24"/>
        </w:rPr>
        <w:t>7.5</w:t>
      </w:r>
      <w:r w:rsidRPr="009F7AF8">
        <w:rPr>
          <w:rFonts w:cs="Arial"/>
          <w:bCs/>
          <w:szCs w:val="24"/>
        </w:rPr>
        <w:t xml:space="preserve">m.  </w:t>
      </w:r>
      <w:r w:rsidR="004E536E" w:rsidRPr="009F7AF8">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7A68AA36" w:rsidR="004E536E" w:rsidRPr="007C3D88" w:rsidRDefault="00622FD5" w:rsidP="004E536E">
      <w:pPr>
        <w:pStyle w:val="ListParagraph"/>
        <w:numPr>
          <w:ilvl w:val="0"/>
          <w:numId w:val="23"/>
        </w:numPr>
        <w:tabs>
          <w:tab w:val="left" w:pos="567"/>
        </w:tabs>
        <w:ind w:left="567" w:hanging="567"/>
        <w:jc w:val="both"/>
        <w:rPr>
          <w:rFonts w:cs="Arial"/>
          <w:bCs/>
          <w:szCs w:val="24"/>
        </w:rPr>
      </w:pPr>
      <w:r w:rsidRPr="00C61C3A">
        <w:rPr>
          <w:rFonts w:cs="Arial"/>
          <w:bCs/>
          <w:szCs w:val="24"/>
        </w:rPr>
        <w:t>The borrowing portfolio remained unchanged in 202</w:t>
      </w:r>
      <w:r w:rsidR="0072357A" w:rsidRPr="00C61C3A">
        <w:rPr>
          <w:rFonts w:cs="Arial"/>
          <w:bCs/>
          <w:szCs w:val="24"/>
        </w:rPr>
        <w:t>1</w:t>
      </w:r>
      <w:r w:rsidRPr="007C3D88">
        <w:rPr>
          <w:rFonts w:cs="Arial"/>
          <w:bCs/>
          <w:szCs w:val="24"/>
        </w:rPr>
        <w:t>/2</w:t>
      </w:r>
      <w:r w:rsidR="0072357A" w:rsidRPr="007C3D88">
        <w:rPr>
          <w:rFonts w:cs="Arial"/>
          <w:bCs/>
          <w:szCs w:val="24"/>
        </w:rPr>
        <w:t>2</w:t>
      </w:r>
      <w:r w:rsidRPr="007C3D88">
        <w:rPr>
          <w:rFonts w:cs="Arial"/>
          <w:bCs/>
          <w:szCs w:val="24"/>
        </w:rPr>
        <w:t>, at £422m split between £348m of PWLB loans and £74m of Market loans,</w:t>
      </w:r>
      <w:r w:rsidR="007C2C6D" w:rsidRPr="007C3D88">
        <w:rPr>
          <w:rFonts w:cs="Arial"/>
          <w:bCs/>
          <w:szCs w:val="24"/>
        </w:rPr>
        <w:t xml:space="preserve"> and at the </w:t>
      </w:r>
      <w:proofErr w:type="gramStart"/>
      <w:r w:rsidR="007C2C6D" w:rsidRPr="007C3D88">
        <w:rPr>
          <w:rFonts w:cs="Arial"/>
          <w:bCs/>
          <w:szCs w:val="24"/>
        </w:rPr>
        <w:t>31</w:t>
      </w:r>
      <w:r w:rsidR="007C2C6D" w:rsidRPr="007C3D88">
        <w:rPr>
          <w:rFonts w:cs="Arial"/>
          <w:bCs/>
          <w:szCs w:val="24"/>
          <w:vertAlign w:val="superscript"/>
        </w:rPr>
        <w:t>st</w:t>
      </w:r>
      <w:proofErr w:type="gramEnd"/>
      <w:r w:rsidR="007C2C6D" w:rsidRPr="007C3D88">
        <w:rPr>
          <w:rFonts w:cs="Arial"/>
          <w:bCs/>
          <w:szCs w:val="24"/>
        </w:rPr>
        <w:t xml:space="preserve"> March 202</w:t>
      </w:r>
      <w:r w:rsidR="0072357A" w:rsidRPr="007C3D88">
        <w:rPr>
          <w:rFonts w:cs="Arial"/>
          <w:bCs/>
          <w:szCs w:val="24"/>
        </w:rPr>
        <w:t>2</w:t>
      </w:r>
      <w:r w:rsidR="007C2C6D" w:rsidRPr="007C3D88">
        <w:rPr>
          <w:rFonts w:cs="Arial"/>
          <w:bCs/>
          <w:szCs w:val="24"/>
        </w:rPr>
        <w:t xml:space="preserve"> the </w:t>
      </w:r>
      <w:r w:rsidR="000279A2" w:rsidRPr="007C3D88">
        <w:rPr>
          <w:rFonts w:cs="Arial"/>
          <w:bCs/>
          <w:szCs w:val="24"/>
        </w:rPr>
        <w:t>portfolio</w:t>
      </w:r>
      <w:r w:rsidR="007C2C6D" w:rsidRPr="007C3D88">
        <w:rPr>
          <w:rFonts w:cs="Arial"/>
          <w:bCs/>
          <w:szCs w:val="24"/>
        </w:rPr>
        <w:t xml:space="preserve"> was</w:t>
      </w:r>
      <w:r w:rsidRPr="007C3D88">
        <w:rPr>
          <w:rFonts w:cs="Arial"/>
          <w:bCs/>
          <w:szCs w:val="24"/>
        </w:rPr>
        <w:t xml:space="preserve"> running at </w:t>
      </w:r>
      <w:r w:rsidR="007C2C6D" w:rsidRPr="007C3D88">
        <w:rPr>
          <w:rFonts w:cs="Arial"/>
          <w:bCs/>
          <w:szCs w:val="24"/>
        </w:rPr>
        <w:t>an</w:t>
      </w:r>
      <w:r w:rsidRPr="007C3D88">
        <w:rPr>
          <w:rFonts w:cs="Arial"/>
          <w:bCs/>
          <w:szCs w:val="24"/>
        </w:rPr>
        <w:t xml:space="preserve"> average </w:t>
      </w:r>
      <w:r w:rsidR="007C2C6D" w:rsidRPr="007C3D88">
        <w:rPr>
          <w:rFonts w:cs="Arial"/>
          <w:bCs/>
          <w:szCs w:val="24"/>
        </w:rPr>
        <w:t xml:space="preserve">interest </w:t>
      </w:r>
      <w:r w:rsidRPr="007C3D88">
        <w:rPr>
          <w:rFonts w:cs="Arial"/>
          <w:bCs/>
          <w:szCs w:val="24"/>
        </w:rPr>
        <w:t>rate of 3.46% and an average life of 3</w:t>
      </w:r>
      <w:r w:rsidR="009F7AF8">
        <w:rPr>
          <w:rFonts w:cs="Arial"/>
          <w:bCs/>
          <w:szCs w:val="24"/>
        </w:rPr>
        <w:t>6</w:t>
      </w:r>
      <w:r w:rsidRPr="007C3D88">
        <w:rPr>
          <w:rFonts w:cs="Arial"/>
          <w:bCs/>
          <w:szCs w:val="24"/>
        </w:rPr>
        <w:t xml:space="preserve">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1885EDF7" w:rsidR="004E536E" w:rsidRDefault="004E536E" w:rsidP="004E536E">
      <w:pPr>
        <w:tabs>
          <w:tab w:val="left" w:pos="567"/>
        </w:tabs>
        <w:jc w:val="both"/>
        <w:rPr>
          <w:rFonts w:cs="Arial"/>
          <w:bCs/>
          <w:sz w:val="20"/>
        </w:rPr>
      </w:pPr>
      <w:r>
        <w:rPr>
          <w:rFonts w:cs="Arial"/>
          <w:bCs/>
          <w:szCs w:val="24"/>
        </w:rPr>
        <w:tab/>
      </w:r>
      <w:r w:rsidRPr="00622FD5">
        <w:rPr>
          <w:rFonts w:cs="Arial"/>
          <w:bCs/>
          <w:sz w:val="20"/>
        </w:rPr>
        <w:t xml:space="preserve">Table </w:t>
      </w:r>
      <w:r w:rsidR="007C2C6D">
        <w:rPr>
          <w:rFonts w:cs="Arial"/>
          <w:bCs/>
          <w:sz w:val="20"/>
        </w:rPr>
        <w:t>7</w:t>
      </w:r>
      <w:r w:rsidRPr="00622FD5">
        <w:rPr>
          <w:rFonts w:cs="Arial"/>
          <w:bCs/>
          <w:sz w:val="20"/>
        </w:rPr>
        <w:t>: Borrowing Portfolio</w:t>
      </w:r>
    </w:p>
    <w:p w14:paraId="6506CE42" w14:textId="445E9A38" w:rsidR="00BC3E16" w:rsidRDefault="00BC3E16" w:rsidP="00BC3E16">
      <w:pPr>
        <w:tabs>
          <w:tab w:val="left" w:pos="567"/>
        </w:tabs>
        <w:ind w:firstLine="567"/>
        <w:jc w:val="both"/>
        <w:rPr>
          <w:rFonts w:cs="Arial"/>
          <w:bCs/>
          <w:sz w:val="20"/>
        </w:rPr>
      </w:pPr>
      <w:r w:rsidRPr="00BC3E16">
        <w:rPr>
          <w:noProof/>
        </w:rPr>
        <w:drawing>
          <wp:inline distT="0" distB="0" distL="0" distR="0" wp14:anchorId="31B529AC" wp14:editId="534F357B">
            <wp:extent cx="585089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352550"/>
                    </a:xfrm>
                    <a:prstGeom prst="rect">
                      <a:avLst/>
                    </a:prstGeom>
                    <a:noFill/>
                    <a:ln>
                      <a:noFill/>
                    </a:ln>
                  </pic:spPr>
                </pic:pic>
              </a:graphicData>
            </a:graphic>
          </wp:inline>
        </w:drawing>
      </w:r>
    </w:p>
    <w:p w14:paraId="38666B78" w14:textId="53D8EB30" w:rsidR="005C4E87" w:rsidRDefault="005C4E87" w:rsidP="005C4E87">
      <w:pPr>
        <w:tabs>
          <w:tab w:val="left" w:pos="567"/>
        </w:tabs>
        <w:ind w:firstLine="567"/>
        <w:jc w:val="both"/>
        <w:rPr>
          <w:rFonts w:cs="Arial"/>
          <w:bCs/>
          <w:sz w:val="20"/>
        </w:rPr>
      </w:pPr>
    </w:p>
    <w:p w14:paraId="21B78202" w14:textId="47C7CB25" w:rsidR="008711C4" w:rsidRPr="00CD4C00" w:rsidRDefault="008711C4" w:rsidP="00C61C3A">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The maturity structure of the debt portfolio remained within the Prudential Indictor limits set as part of the 202</w:t>
      </w:r>
      <w:r w:rsidR="0072357A">
        <w:rPr>
          <w:rFonts w:cs="Arial"/>
          <w:bCs/>
          <w:szCs w:val="24"/>
        </w:rPr>
        <w:t>1</w:t>
      </w:r>
      <w:r w:rsidRPr="00CD4C00">
        <w:rPr>
          <w:rFonts w:cs="Arial"/>
          <w:bCs/>
          <w:szCs w:val="24"/>
        </w:rPr>
        <w:t>/2</w:t>
      </w:r>
      <w:r w:rsidR="0072357A">
        <w:rPr>
          <w:rFonts w:cs="Arial"/>
          <w:bCs/>
          <w:szCs w:val="24"/>
        </w:rPr>
        <w:t>2</w:t>
      </w:r>
      <w:r w:rsidRPr="00CD4C00">
        <w:rPr>
          <w:rFonts w:cs="Arial"/>
          <w:bCs/>
          <w:szCs w:val="24"/>
        </w:rPr>
        <w:t xml:space="preserve">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507B242" w14:textId="27040D2A" w:rsidR="00A94722" w:rsidRPr="00B96C22" w:rsidRDefault="00A94722" w:rsidP="00B96C22">
      <w:pPr>
        <w:tabs>
          <w:tab w:val="left" w:pos="567"/>
        </w:tabs>
        <w:jc w:val="both"/>
        <w:rPr>
          <w:rFonts w:cs="Arial"/>
          <w:bCs/>
          <w:sz w:val="20"/>
        </w:rPr>
      </w:pPr>
    </w:p>
    <w:p w14:paraId="6BCA1AA7" w14:textId="20C43EB2" w:rsidR="004E536E" w:rsidRPr="00B96C22" w:rsidRDefault="004E536E" w:rsidP="004E536E">
      <w:pPr>
        <w:pStyle w:val="ListParagraph"/>
        <w:tabs>
          <w:tab w:val="left" w:pos="567"/>
        </w:tabs>
        <w:ind w:left="567"/>
        <w:jc w:val="both"/>
        <w:rPr>
          <w:rFonts w:cs="Arial"/>
          <w:bCs/>
          <w:sz w:val="20"/>
        </w:rPr>
      </w:pPr>
      <w:r w:rsidRPr="00C61C3A">
        <w:rPr>
          <w:rFonts w:cs="Arial"/>
          <w:bCs/>
          <w:sz w:val="20"/>
        </w:rPr>
        <w:t xml:space="preserve">Table </w:t>
      </w:r>
      <w:r w:rsidR="007C2C6D" w:rsidRPr="00C61C3A">
        <w:rPr>
          <w:rFonts w:cs="Arial"/>
          <w:bCs/>
          <w:sz w:val="20"/>
        </w:rPr>
        <w:t>8</w:t>
      </w:r>
      <w:r w:rsidRPr="00C61C3A">
        <w:rPr>
          <w:rFonts w:cs="Arial"/>
          <w:bCs/>
          <w:sz w:val="20"/>
        </w:rPr>
        <w:t>: Maturity Structure of Borrowing</w:t>
      </w:r>
    </w:p>
    <w:p w14:paraId="23A5EF82" w14:textId="56956E6A" w:rsidR="007C3D88" w:rsidRPr="00B96C22" w:rsidRDefault="007C3D88" w:rsidP="004E536E">
      <w:pPr>
        <w:pStyle w:val="ListParagraph"/>
        <w:tabs>
          <w:tab w:val="left" w:pos="567"/>
        </w:tabs>
        <w:ind w:left="567"/>
        <w:jc w:val="both"/>
        <w:rPr>
          <w:rFonts w:cs="Arial"/>
          <w:bCs/>
          <w:sz w:val="20"/>
          <w:highlight w:val="yellow"/>
        </w:rPr>
      </w:pPr>
      <w:r w:rsidRPr="00B96C22">
        <w:rPr>
          <w:noProof/>
        </w:rPr>
        <w:drawing>
          <wp:inline distT="0" distB="0" distL="0" distR="0" wp14:anchorId="4677D560" wp14:editId="2879FE7B">
            <wp:extent cx="5842000" cy="1320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3557" cy="1321152"/>
                    </a:xfrm>
                    <a:prstGeom prst="rect">
                      <a:avLst/>
                    </a:prstGeom>
                    <a:noFill/>
                    <a:ln>
                      <a:noFill/>
                    </a:ln>
                  </pic:spPr>
                </pic:pic>
              </a:graphicData>
            </a:graphic>
          </wp:inline>
        </w:drawing>
      </w:r>
    </w:p>
    <w:p w14:paraId="6F9969CA" w14:textId="44B2652A" w:rsidR="004E536E" w:rsidRPr="005C4E87" w:rsidRDefault="004E536E" w:rsidP="005C4E87">
      <w:pPr>
        <w:tabs>
          <w:tab w:val="left" w:pos="567"/>
        </w:tabs>
        <w:jc w:val="both"/>
        <w:rPr>
          <w:rFonts w:cs="Arial"/>
          <w:bCs/>
          <w:szCs w:val="24"/>
        </w:rPr>
      </w:pPr>
    </w:p>
    <w:p w14:paraId="09A9D7A2" w14:textId="5C74108B"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Appendix 2 provides a summary of PWLB maturity loan certainty rates across 202</w:t>
      </w:r>
      <w:r w:rsidR="0072357A">
        <w:rPr>
          <w:rFonts w:cs="Arial"/>
          <w:bCs/>
          <w:szCs w:val="24"/>
        </w:rPr>
        <w:t>1</w:t>
      </w:r>
      <w:r w:rsidRPr="00567953">
        <w:rPr>
          <w:rFonts w:cs="Arial"/>
          <w:bCs/>
          <w:szCs w:val="24"/>
        </w:rPr>
        <w:t>/2</w:t>
      </w:r>
      <w:r w:rsidR="0072357A">
        <w:rPr>
          <w:rFonts w:cs="Arial"/>
          <w:bCs/>
          <w:szCs w:val="24"/>
        </w:rPr>
        <w:t>2</w:t>
      </w:r>
      <w:r w:rsidRPr="00567953">
        <w:rPr>
          <w:rFonts w:cs="Arial"/>
          <w:bCs/>
          <w:szCs w:val="24"/>
        </w:rPr>
        <w:t xml:space="preserve">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756CB0DD"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w:t>
      </w:r>
      <w:r w:rsidR="0072357A">
        <w:rPr>
          <w:rFonts w:cs="Arial"/>
          <w:bCs/>
          <w:szCs w:val="24"/>
        </w:rPr>
        <w:t>1</w:t>
      </w:r>
      <w:r w:rsidRPr="004E536E">
        <w:rPr>
          <w:rFonts w:cs="Arial"/>
          <w:bCs/>
          <w:szCs w:val="24"/>
        </w:rPr>
        <w:t>/2</w:t>
      </w:r>
      <w:r w:rsidR="0072357A">
        <w:rPr>
          <w:rFonts w:cs="Arial"/>
          <w:bCs/>
          <w:szCs w:val="24"/>
        </w:rPr>
        <w:t>2</w:t>
      </w:r>
      <w:r w:rsidRPr="004E536E">
        <w:rPr>
          <w:rFonts w:cs="Arial"/>
          <w:bCs/>
          <w:szCs w:val="24"/>
        </w:rPr>
        <w:t xml:space="preserve"> in accordance with the Treasury Management Strategy approved by Full Council </w:t>
      </w:r>
      <w:r w:rsidR="00FC000E">
        <w:rPr>
          <w:rFonts w:cs="Arial"/>
          <w:bCs/>
          <w:szCs w:val="24"/>
        </w:rPr>
        <w:t>in February 202</w:t>
      </w:r>
      <w:r w:rsidR="0072357A">
        <w:rPr>
          <w:rFonts w:cs="Arial"/>
          <w:bCs/>
          <w:szCs w:val="24"/>
        </w:rPr>
        <w:t>1</w:t>
      </w:r>
      <w:r w:rsidR="00FC000E">
        <w:rPr>
          <w:rFonts w:cs="Arial"/>
          <w:bCs/>
          <w:szCs w:val="24"/>
        </w:rPr>
        <w:t>.</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126B0648" w14:textId="128F4F43" w:rsidR="009F7AF8" w:rsidRDefault="004E536E">
      <w:pPr>
        <w:pStyle w:val="ListParagraph"/>
        <w:numPr>
          <w:ilvl w:val="0"/>
          <w:numId w:val="23"/>
        </w:numPr>
        <w:tabs>
          <w:tab w:val="left" w:pos="567"/>
        </w:tabs>
        <w:ind w:left="567" w:hanging="567"/>
        <w:jc w:val="both"/>
        <w:rPr>
          <w:rFonts w:cs="Arial"/>
          <w:bCs/>
          <w:szCs w:val="24"/>
        </w:rPr>
      </w:pPr>
      <w:r w:rsidRPr="00D27C65">
        <w:rPr>
          <w:rFonts w:cs="Arial"/>
          <w:bCs/>
          <w:szCs w:val="24"/>
        </w:rPr>
        <w:t>Due to the internal borrowing strategy being undertaken by the Council, cash balances continued to be held</w:t>
      </w:r>
      <w:r w:rsidR="0095290A" w:rsidRPr="00D27C65">
        <w:rPr>
          <w:rFonts w:cs="Arial"/>
          <w:bCs/>
          <w:szCs w:val="24"/>
        </w:rPr>
        <w:t xml:space="preserve"> on a </w:t>
      </w:r>
      <w:proofErr w:type="gramStart"/>
      <w:r w:rsidR="0095290A" w:rsidRPr="00D27C65">
        <w:rPr>
          <w:rFonts w:cs="Arial"/>
          <w:bCs/>
          <w:szCs w:val="24"/>
        </w:rPr>
        <w:t>short term</w:t>
      </w:r>
      <w:proofErr w:type="gramEnd"/>
      <w:r w:rsidR="0095290A" w:rsidRPr="00D27C65">
        <w:rPr>
          <w:rFonts w:cs="Arial"/>
          <w:bCs/>
          <w:szCs w:val="24"/>
        </w:rPr>
        <w:t xml:space="preserve"> basis</w:t>
      </w:r>
      <w:r w:rsidRPr="00D27C65">
        <w:rPr>
          <w:rFonts w:cs="Arial"/>
          <w:bCs/>
          <w:szCs w:val="24"/>
        </w:rPr>
        <w:t xml:space="preserve"> for liquidity purposes, in Money Market Funds and banks</w:t>
      </w:r>
      <w:r w:rsidR="00BB6AD4" w:rsidRPr="00D27C65">
        <w:rPr>
          <w:rFonts w:cs="Arial"/>
          <w:bCs/>
          <w:szCs w:val="24"/>
        </w:rPr>
        <w:t xml:space="preserve"> throughout 202</w:t>
      </w:r>
      <w:r w:rsidR="00D27C65" w:rsidRPr="00D27C65">
        <w:rPr>
          <w:rFonts w:cs="Arial"/>
          <w:bCs/>
          <w:szCs w:val="24"/>
        </w:rPr>
        <w:t>1</w:t>
      </w:r>
      <w:r w:rsidR="00BB6AD4" w:rsidRPr="00D27C65">
        <w:rPr>
          <w:rFonts w:cs="Arial"/>
          <w:bCs/>
          <w:szCs w:val="24"/>
        </w:rPr>
        <w:t>/2</w:t>
      </w:r>
      <w:r w:rsidR="00D27C65" w:rsidRPr="00D27C65">
        <w:rPr>
          <w:rFonts w:cs="Arial"/>
          <w:bCs/>
          <w:szCs w:val="24"/>
        </w:rPr>
        <w:t>2</w:t>
      </w:r>
      <w:r w:rsidRPr="00D27C65">
        <w:rPr>
          <w:rFonts w:cs="Arial"/>
          <w:bCs/>
          <w:szCs w:val="24"/>
        </w:rPr>
        <w:t>.</w:t>
      </w:r>
      <w:r w:rsidR="000F048D" w:rsidRPr="00D27C65">
        <w:rPr>
          <w:rFonts w:cs="Arial"/>
          <w:bCs/>
          <w:szCs w:val="24"/>
        </w:rPr>
        <w:t xml:space="preserve"> </w:t>
      </w:r>
    </w:p>
    <w:p w14:paraId="50D6CCC4" w14:textId="6A68D0D6" w:rsidR="00BB6AD4" w:rsidRPr="0062396F" w:rsidRDefault="000F048D" w:rsidP="00B96C22">
      <w:r w:rsidRPr="00C61C3A">
        <w:rPr>
          <w:rFonts w:cs="Arial"/>
          <w:bCs/>
          <w:szCs w:val="24"/>
        </w:rPr>
        <w:t xml:space="preserve"> </w:t>
      </w:r>
    </w:p>
    <w:p w14:paraId="31E6BF02" w14:textId="77777777" w:rsidR="00A81373" w:rsidRDefault="00BB6AD4" w:rsidP="00A81373">
      <w:pPr>
        <w:pStyle w:val="ListParagraph"/>
        <w:numPr>
          <w:ilvl w:val="0"/>
          <w:numId w:val="23"/>
        </w:numPr>
        <w:tabs>
          <w:tab w:val="left" w:pos="567"/>
        </w:tabs>
        <w:ind w:left="567" w:hanging="567"/>
        <w:jc w:val="both"/>
        <w:rPr>
          <w:rFonts w:cs="Arial"/>
          <w:bCs/>
          <w:szCs w:val="24"/>
        </w:rPr>
      </w:pPr>
      <w:r w:rsidRPr="0062396F">
        <w:rPr>
          <w:rFonts w:cs="Arial"/>
          <w:bCs/>
          <w:szCs w:val="24"/>
        </w:rPr>
        <w:lastRenderedPageBreak/>
        <w:t>Investment returns which had been low during 20</w:t>
      </w:r>
      <w:r w:rsidR="00D27C65" w:rsidRPr="0062396F">
        <w:rPr>
          <w:rFonts w:cs="Arial"/>
          <w:bCs/>
          <w:szCs w:val="24"/>
        </w:rPr>
        <w:t>20</w:t>
      </w:r>
      <w:r w:rsidRPr="0062396F">
        <w:rPr>
          <w:rFonts w:cs="Arial"/>
          <w:bCs/>
          <w:szCs w:val="24"/>
        </w:rPr>
        <w:t>/2</w:t>
      </w:r>
      <w:r w:rsidR="00D27C65" w:rsidRPr="0062396F">
        <w:rPr>
          <w:rFonts w:cs="Arial"/>
          <w:bCs/>
          <w:szCs w:val="24"/>
        </w:rPr>
        <w:t>1</w:t>
      </w:r>
      <w:r w:rsidRPr="0062396F">
        <w:rPr>
          <w:rFonts w:cs="Arial"/>
          <w:bCs/>
          <w:szCs w:val="24"/>
        </w:rPr>
        <w:t xml:space="preserve"> </w:t>
      </w:r>
      <w:r w:rsidR="00C61C3A" w:rsidRPr="00B96C22">
        <w:rPr>
          <w:rFonts w:cs="Arial"/>
          <w:bCs/>
          <w:szCs w:val="24"/>
        </w:rPr>
        <w:t>saw little improvement in 2021/22 with an average return of 0.02%</w:t>
      </w:r>
      <w:r w:rsidR="0062396F" w:rsidRPr="0062396F">
        <w:rPr>
          <w:rFonts w:cs="Arial"/>
          <w:bCs/>
          <w:szCs w:val="24"/>
        </w:rPr>
        <w:t xml:space="preserve"> as set out in Table 9</w:t>
      </w:r>
      <w:r w:rsidR="00C61C3A" w:rsidRPr="00B96C22">
        <w:rPr>
          <w:rFonts w:cs="Arial"/>
          <w:bCs/>
          <w:szCs w:val="24"/>
        </w:rPr>
        <w:t xml:space="preserve">.  </w:t>
      </w:r>
      <w:r w:rsidRPr="00A81373">
        <w:rPr>
          <w:rFonts w:cs="Arial"/>
          <w:bCs/>
          <w:color w:val="000000" w:themeColor="text1"/>
          <w:szCs w:val="24"/>
        </w:rPr>
        <w:t xml:space="preserve">While the Authority avoided making any investments at negative interest rates, </w:t>
      </w:r>
      <w:r w:rsidRPr="00A81373">
        <w:rPr>
          <w:rFonts w:cs="Arial"/>
          <w:bCs/>
          <w:szCs w:val="24"/>
        </w:rPr>
        <w:t>returns from</w:t>
      </w:r>
      <w:r w:rsidR="003C54FD" w:rsidRPr="00A81373">
        <w:rPr>
          <w:rFonts w:cs="Arial"/>
          <w:bCs/>
          <w:szCs w:val="24"/>
        </w:rPr>
        <w:t xml:space="preserve"> short term investments with</w:t>
      </w:r>
      <w:r w:rsidRPr="00A81373">
        <w:rPr>
          <w:rFonts w:cs="Arial"/>
          <w:bCs/>
          <w:szCs w:val="24"/>
        </w:rPr>
        <w:t xml:space="preserve"> MMFs and banks have been</w:t>
      </w:r>
      <w:r w:rsidR="003E367E" w:rsidRPr="00A81373">
        <w:rPr>
          <w:rFonts w:cs="Arial"/>
          <w:bCs/>
          <w:szCs w:val="24"/>
        </w:rPr>
        <w:t xml:space="preserve"> at or</w:t>
      </w:r>
      <w:r w:rsidRPr="00A81373">
        <w:rPr>
          <w:rFonts w:cs="Arial"/>
          <w:bCs/>
          <w:szCs w:val="24"/>
        </w:rPr>
        <w:t xml:space="preserve"> near zero and at the </w:t>
      </w:r>
      <w:proofErr w:type="gramStart"/>
      <w:r w:rsidRPr="00A81373">
        <w:rPr>
          <w:rFonts w:cs="Arial"/>
          <w:bCs/>
          <w:szCs w:val="24"/>
        </w:rPr>
        <w:t>31</w:t>
      </w:r>
      <w:r w:rsidRPr="00A81373">
        <w:rPr>
          <w:rFonts w:cs="Arial"/>
          <w:bCs/>
          <w:szCs w:val="24"/>
          <w:vertAlign w:val="superscript"/>
        </w:rPr>
        <w:t>st</w:t>
      </w:r>
      <w:proofErr w:type="gramEnd"/>
      <w:r w:rsidRPr="00A81373">
        <w:rPr>
          <w:rFonts w:cs="Arial"/>
          <w:bCs/>
          <w:szCs w:val="24"/>
        </w:rPr>
        <w:t xml:space="preserve"> March 202</w:t>
      </w:r>
      <w:r w:rsidR="00D27C65" w:rsidRPr="00A81373">
        <w:rPr>
          <w:rFonts w:cs="Arial"/>
          <w:bCs/>
          <w:szCs w:val="24"/>
        </w:rPr>
        <w:t>2</w:t>
      </w:r>
      <w:r w:rsidRPr="00A81373">
        <w:rPr>
          <w:rFonts w:cs="Arial"/>
          <w:bCs/>
          <w:szCs w:val="24"/>
        </w:rPr>
        <w:t xml:space="preserve"> the </w:t>
      </w:r>
      <w:r w:rsidR="003C54FD" w:rsidRPr="00A81373">
        <w:rPr>
          <w:rFonts w:cs="Arial"/>
          <w:bCs/>
          <w:szCs w:val="24"/>
        </w:rPr>
        <w:t>biggest return within the portfolio was the 32 day notice account with Lloyds which was returning 0.03%.</w:t>
      </w:r>
      <w:r w:rsidR="00F85194" w:rsidRPr="00A81373">
        <w:rPr>
          <w:rFonts w:cs="Arial"/>
          <w:bCs/>
          <w:szCs w:val="24"/>
        </w:rPr>
        <w:t xml:space="preserve">  </w:t>
      </w:r>
    </w:p>
    <w:p w14:paraId="7C3A84EB" w14:textId="77777777" w:rsidR="00A81373" w:rsidRPr="00A81373" w:rsidRDefault="00A81373" w:rsidP="00A81373">
      <w:pPr>
        <w:pStyle w:val="ListParagraph"/>
        <w:rPr>
          <w:rFonts w:cs="Arial"/>
          <w:bCs/>
          <w:szCs w:val="24"/>
        </w:rPr>
      </w:pPr>
    </w:p>
    <w:p w14:paraId="6C5FFF5B" w14:textId="49DCAD07" w:rsidR="0095290A" w:rsidRPr="00A81373" w:rsidRDefault="00F85194" w:rsidP="00A81373">
      <w:pPr>
        <w:pStyle w:val="ListParagraph"/>
        <w:numPr>
          <w:ilvl w:val="0"/>
          <w:numId w:val="23"/>
        </w:numPr>
        <w:tabs>
          <w:tab w:val="left" w:pos="567"/>
        </w:tabs>
        <w:ind w:left="567" w:hanging="567"/>
        <w:jc w:val="both"/>
        <w:rPr>
          <w:rFonts w:cs="Arial"/>
          <w:bCs/>
          <w:szCs w:val="24"/>
        </w:rPr>
      </w:pPr>
      <w:r w:rsidRPr="00A81373">
        <w:rPr>
          <w:rFonts w:cs="Arial"/>
          <w:bCs/>
          <w:szCs w:val="24"/>
        </w:rPr>
        <w:t xml:space="preserve">While the Bank of England Base Rate increased from 0.10% to 0.25% in December 2021, after remaining unchanged since March 2020, the impact of this and the subsequent 0.25% increases in February 2022 and March 2022 to 0.75% didn’t have an immediate impact on </w:t>
      </w:r>
      <w:proofErr w:type="spellStart"/>
      <w:r w:rsidRPr="00A81373">
        <w:rPr>
          <w:rFonts w:cs="Arial"/>
          <w:bCs/>
          <w:szCs w:val="24"/>
        </w:rPr>
        <w:t>on</w:t>
      </w:r>
      <w:proofErr w:type="spellEnd"/>
      <w:r w:rsidRPr="00A81373">
        <w:rPr>
          <w:rFonts w:cs="Arial"/>
          <w:bCs/>
          <w:szCs w:val="24"/>
        </w:rPr>
        <w:t xml:space="preserve"> short term highly liquid investment returns due to the large levels of liquidity that have been held across the market throughout the pandemic.  Bank Rate has continued to increase at each of Monetary Policy Committee meetings after 31 March 2022, and now stands at 1.25% with the expectation of further increases to come.  This will increase investment returns in 2022/23. </w:t>
      </w:r>
    </w:p>
    <w:p w14:paraId="5B253C75" w14:textId="77777777" w:rsidR="00F85194" w:rsidRPr="00F85194" w:rsidRDefault="00F85194" w:rsidP="00011342">
      <w:pPr>
        <w:pStyle w:val="ListParagraph"/>
        <w:rPr>
          <w:rFonts w:cs="Arial"/>
          <w:bCs/>
          <w:szCs w:val="24"/>
        </w:rPr>
      </w:pPr>
    </w:p>
    <w:p w14:paraId="14593DA7" w14:textId="514DB69B" w:rsidR="00A94722" w:rsidRPr="00A81373" w:rsidRDefault="004E536E" w:rsidP="00A81373">
      <w:pPr>
        <w:pStyle w:val="ListParagraph"/>
        <w:numPr>
          <w:ilvl w:val="0"/>
          <w:numId w:val="23"/>
        </w:numPr>
        <w:tabs>
          <w:tab w:val="left" w:pos="567"/>
        </w:tabs>
        <w:ind w:left="567" w:hanging="567"/>
        <w:jc w:val="both"/>
      </w:pPr>
      <w:r w:rsidRPr="004E536E">
        <w:rPr>
          <w:rFonts w:cs="Arial"/>
          <w:bCs/>
          <w:szCs w:val="24"/>
        </w:rPr>
        <w:t xml:space="preserve">The investment portfolio remained highly liquid throughout </w:t>
      </w:r>
      <w:r w:rsidR="003C54FD">
        <w:rPr>
          <w:rFonts w:cs="Arial"/>
          <w:bCs/>
          <w:szCs w:val="24"/>
        </w:rPr>
        <w:t>202</w:t>
      </w:r>
      <w:r w:rsidR="00D27C65">
        <w:rPr>
          <w:rFonts w:cs="Arial"/>
          <w:bCs/>
          <w:szCs w:val="24"/>
        </w:rPr>
        <w:t>1</w:t>
      </w:r>
      <w:r w:rsidR="003C54FD">
        <w:rPr>
          <w:rFonts w:cs="Arial"/>
          <w:bCs/>
          <w:szCs w:val="24"/>
        </w:rPr>
        <w:t>/2</w:t>
      </w:r>
      <w:r w:rsidR="00D27C65">
        <w:rPr>
          <w:rFonts w:cs="Arial"/>
          <w:bCs/>
          <w:szCs w:val="24"/>
        </w:rPr>
        <w:t>2</w:t>
      </w:r>
      <w:r w:rsidRPr="004E536E">
        <w:rPr>
          <w:rFonts w:cs="Arial"/>
          <w:bCs/>
          <w:szCs w:val="24"/>
        </w:rPr>
        <w:t xml:space="preserve">. </w:t>
      </w:r>
      <w:r w:rsidRPr="00C61C3A">
        <w:rPr>
          <w:rFonts w:cs="Arial"/>
          <w:bCs/>
          <w:szCs w:val="24"/>
        </w:rPr>
        <w:t>Investments increased from £</w:t>
      </w:r>
      <w:r w:rsidR="00C61C3A" w:rsidRPr="00B96C22">
        <w:rPr>
          <w:rFonts w:cs="Arial"/>
          <w:bCs/>
          <w:szCs w:val="24"/>
        </w:rPr>
        <w:t>82.4</w:t>
      </w:r>
      <w:proofErr w:type="gramStart"/>
      <w:r w:rsidR="00C61C3A" w:rsidRPr="00B96C22">
        <w:rPr>
          <w:rFonts w:cs="Arial"/>
          <w:bCs/>
          <w:szCs w:val="24"/>
        </w:rPr>
        <w:t xml:space="preserve">m  </w:t>
      </w:r>
      <w:r w:rsidRPr="00C61C3A">
        <w:rPr>
          <w:rFonts w:cs="Arial"/>
          <w:bCs/>
          <w:szCs w:val="24"/>
        </w:rPr>
        <w:t>to</w:t>
      </w:r>
      <w:proofErr w:type="gramEnd"/>
      <w:r w:rsidRPr="00C61C3A">
        <w:rPr>
          <w:rFonts w:cs="Arial"/>
          <w:bCs/>
          <w:szCs w:val="24"/>
        </w:rPr>
        <w:t xml:space="preserve"> £</w:t>
      </w:r>
      <w:r w:rsidR="00C61C3A" w:rsidRPr="00B96C22">
        <w:rPr>
          <w:rFonts w:cs="Arial"/>
          <w:bCs/>
          <w:szCs w:val="24"/>
        </w:rPr>
        <w:t>98</w:t>
      </w:r>
      <w:r w:rsidRPr="00C61C3A">
        <w:rPr>
          <w:rFonts w:cs="Arial"/>
          <w:bCs/>
          <w:szCs w:val="24"/>
        </w:rPr>
        <w:t xml:space="preserve">m over the year while the average rate of interest </w:t>
      </w:r>
      <w:r w:rsidR="00C61C3A" w:rsidRPr="00B96C22">
        <w:rPr>
          <w:rFonts w:cs="Arial"/>
          <w:bCs/>
          <w:szCs w:val="24"/>
        </w:rPr>
        <w:t>saw a minimal increase</w:t>
      </w:r>
      <w:r w:rsidRPr="00C61C3A">
        <w:rPr>
          <w:rFonts w:cs="Arial"/>
          <w:bCs/>
          <w:szCs w:val="24"/>
        </w:rPr>
        <w:t xml:space="preserve"> from 0.</w:t>
      </w:r>
      <w:r w:rsidR="00C61C3A" w:rsidRPr="00B96C22">
        <w:rPr>
          <w:rFonts w:cs="Arial"/>
          <w:bCs/>
          <w:szCs w:val="24"/>
        </w:rPr>
        <w:t>01</w:t>
      </w:r>
      <w:r w:rsidRPr="00C61C3A">
        <w:rPr>
          <w:rFonts w:cs="Arial"/>
          <w:bCs/>
          <w:szCs w:val="24"/>
        </w:rPr>
        <w:t>% as at 31st March 20</w:t>
      </w:r>
      <w:r w:rsidR="003C54FD" w:rsidRPr="00C61C3A">
        <w:rPr>
          <w:rFonts w:cs="Arial"/>
          <w:bCs/>
          <w:szCs w:val="24"/>
        </w:rPr>
        <w:t>2</w:t>
      </w:r>
      <w:r w:rsidR="00C61C3A" w:rsidRPr="00B96C22">
        <w:rPr>
          <w:rFonts w:cs="Arial"/>
          <w:bCs/>
          <w:szCs w:val="24"/>
        </w:rPr>
        <w:t>1</w:t>
      </w:r>
      <w:r w:rsidRPr="00C61C3A">
        <w:rPr>
          <w:rFonts w:cs="Arial"/>
          <w:bCs/>
          <w:szCs w:val="24"/>
        </w:rPr>
        <w:t xml:space="preserve"> to 0.</w:t>
      </w:r>
      <w:r w:rsidR="003C54FD" w:rsidRPr="00C61C3A">
        <w:rPr>
          <w:rFonts w:cs="Arial"/>
          <w:bCs/>
          <w:szCs w:val="24"/>
        </w:rPr>
        <w:t>0</w:t>
      </w:r>
      <w:r w:rsidR="00C61C3A" w:rsidRPr="00B96C22">
        <w:rPr>
          <w:rFonts w:cs="Arial"/>
          <w:bCs/>
          <w:szCs w:val="24"/>
        </w:rPr>
        <w:t>2</w:t>
      </w:r>
      <w:r w:rsidRPr="00C61C3A">
        <w:rPr>
          <w:rFonts w:cs="Arial"/>
          <w:bCs/>
          <w:szCs w:val="24"/>
        </w:rPr>
        <w:t>% as at 31st March 202</w:t>
      </w:r>
      <w:r w:rsidR="00C61C3A" w:rsidRPr="00B96C22">
        <w:rPr>
          <w:rFonts w:cs="Arial"/>
          <w:bCs/>
          <w:szCs w:val="24"/>
        </w:rPr>
        <w:t>2</w:t>
      </w:r>
      <w:r w:rsidRPr="00C61C3A">
        <w:rPr>
          <w:rFonts w:cs="Arial"/>
          <w:bCs/>
          <w:szCs w:val="24"/>
        </w:rPr>
        <w:t xml:space="preserve">.  </w:t>
      </w:r>
    </w:p>
    <w:p w14:paraId="7200E2A7" w14:textId="77777777" w:rsidR="00A94722" w:rsidRDefault="00A94722" w:rsidP="00A86F66">
      <w:pPr>
        <w:pStyle w:val="ListParagraph"/>
        <w:rPr>
          <w:rFonts w:cs="Arial"/>
          <w:bCs/>
          <w:szCs w:val="24"/>
        </w:rPr>
      </w:pPr>
    </w:p>
    <w:p w14:paraId="7AC0202C" w14:textId="3A94ED2C" w:rsidR="00A86F66" w:rsidRPr="00B96C22" w:rsidRDefault="00A86F66" w:rsidP="00A86F66">
      <w:pPr>
        <w:pStyle w:val="ListParagraph"/>
        <w:ind w:left="567"/>
        <w:rPr>
          <w:rFonts w:cs="Arial"/>
          <w:bCs/>
          <w:sz w:val="20"/>
        </w:rPr>
      </w:pPr>
      <w:r w:rsidRPr="00C61C3A">
        <w:rPr>
          <w:rFonts w:cs="Arial"/>
          <w:bCs/>
          <w:sz w:val="20"/>
        </w:rPr>
        <w:t xml:space="preserve">Table </w:t>
      </w:r>
      <w:r w:rsidR="007C2C6D" w:rsidRPr="00C61C3A">
        <w:rPr>
          <w:rFonts w:cs="Arial"/>
          <w:bCs/>
          <w:sz w:val="20"/>
        </w:rPr>
        <w:t>9</w:t>
      </w:r>
      <w:r w:rsidRPr="00C61C3A">
        <w:rPr>
          <w:rFonts w:cs="Arial"/>
          <w:bCs/>
          <w:sz w:val="20"/>
        </w:rPr>
        <w:t>: Investment Portfolio</w:t>
      </w:r>
    </w:p>
    <w:p w14:paraId="7E5B965C" w14:textId="498EBA3D" w:rsidR="009F7AF8" w:rsidRPr="00B96C22" w:rsidRDefault="009F7AF8" w:rsidP="00A86F66">
      <w:pPr>
        <w:pStyle w:val="ListParagraph"/>
        <w:ind w:left="567"/>
        <w:rPr>
          <w:rFonts w:cs="Arial"/>
          <w:bCs/>
          <w:sz w:val="20"/>
        </w:rPr>
      </w:pPr>
      <w:r w:rsidRPr="00B96C22">
        <w:rPr>
          <w:noProof/>
        </w:rPr>
        <w:drawing>
          <wp:inline distT="0" distB="0" distL="0" distR="0" wp14:anchorId="5DC866EA" wp14:editId="4F9331BF">
            <wp:extent cx="5850890" cy="132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9993" cy="1325112"/>
                    </a:xfrm>
                    <a:prstGeom prst="rect">
                      <a:avLst/>
                    </a:prstGeom>
                    <a:noFill/>
                    <a:ln>
                      <a:noFill/>
                    </a:ln>
                  </pic:spPr>
                </pic:pic>
              </a:graphicData>
            </a:graphic>
          </wp:inline>
        </w:drawing>
      </w:r>
    </w:p>
    <w:p w14:paraId="4BE5E500" w14:textId="77777777" w:rsidR="000F048D" w:rsidRDefault="000F048D" w:rsidP="003634DA">
      <w:pPr>
        <w:jc w:val="both"/>
        <w:rPr>
          <w:szCs w:val="24"/>
        </w:rPr>
      </w:pPr>
    </w:p>
    <w:p w14:paraId="5F5798F4" w14:textId="1B77452D"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w:t>
      </w:r>
      <w:r w:rsidR="00D27C65">
        <w:rPr>
          <w:b/>
          <w:bCs/>
          <w:szCs w:val="24"/>
        </w:rPr>
        <w:t>1</w:t>
      </w:r>
      <w:r w:rsidRPr="003C54FD">
        <w:rPr>
          <w:b/>
          <w:bCs/>
          <w:szCs w:val="24"/>
        </w:rPr>
        <w:t>/2</w:t>
      </w:r>
      <w:r w:rsidR="00D27C65">
        <w:rPr>
          <w:b/>
          <w:bCs/>
          <w:szCs w:val="24"/>
        </w:rPr>
        <w:t>2</w:t>
      </w:r>
    </w:p>
    <w:p w14:paraId="3FE7B64D" w14:textId="77777777" w:rsidR="00A86F66" w:rsidRPr="00A86F66" w:rsidRDefault="00A86F66" w:rsidP="00A86F66">
      <w:pPr>
        <w:pStyle w:val="ListParagraph"/>
        <w:ind w:left="426"/>
        <w:jc w:val="both"/>
        <w:rPr>
          <w:szCs w:val="24"/>
        </w:rPr>
      </w:pPr>
    </w:p>
    <w:p w14:paraId="549F5D4A" w14:textId="49A5860C" w:rsidR="00A86F66" w:rsidRPr="000F048D" w:rsidRDefault="00A86F66" w:rsidP="000F048D">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 xml:space="preserve">Investment strategy </w:t>
      </w:r>
      <w:r w:rsidR="003C0959">
        <w:rPr>
          <w:rFonts w:cs="Arial"/>
          <w:color w:val="0D0D0D" w:themeColor="text1" w:themeTint="F2"/>
          <w:szCs w:val="24"/>
          <w:u w:val="single"/>
        </w:rPr>
        <w:t>for 2021/22</w:t>
      </w:r>
    </w:p>
    <w:p w14:paraId="2EB2E7F5" w14:textId="1A9ED4D8" w:rsidR="00DB6AFF" w:rsidRDefault="003C54FD" w:rsidP="00622453">
      <w:pPr>
        <w:pStyle w:val="ListParagraph"/>
        <w:numPr>
          <w:ilvl w:val="0"/>
          <w:numId w:val="24"/>
        </w:numPr>
        <w:ind w:left="567" w:hanging="567"/>
        <w:rPr>
          <w:szCs w:val="24"/>
        </w:rPr>
      </w:pPr>
      <w:r w:rsidRPr="0062396F">
        <w:rPr>
          <w:szCs w:val="24"/>
        </w:rPr>
        <w:t>Investment returns which had been low during 20</w:t>
      </w:r>
      <w:r w:rsidR="00D27C65" w:rsidRPr="0062396F">
        <w:rPr>
          <w:szCs w:val="24"/>
        </w:rPr>
        <w:t>20</w:t>
      </w:r>
      <w:r w:rsidRPr="00DB6AFF">
        <w:rPr>
          <w:szCs w:val="24"/>
        </w:rPr>
        <w:t>/2</w:t>
      </w:r>
      <w:r w:rsidR="00D27C65" w:rsidRPr="00DB6AFF">
        <w:rPr>
          <w:szCs w:val="24"/>
        </w:rPr>
        <w:t>1</w:t>
      </w:r>
      <w:r w:rsidRPr="00DB6AFF">
        <w:rPr>
          <w:szCs w:val="24"/>
        </w:rPr>
        <w:t xml:space="preserve">, </w:t>
      </w:r>
      <w:r w:rsidR="00DB6AFF" w:rsidRPr="00DB6AFF">
        <w:rPr>
          <w:szCs w:val="24"/>
        </w:rPr>
        <w:t>remained close to zero for much of 2021/22</w:t>
      </w:r>
      <w:r w:rsidR="00DB6AFF">
        <w:rPr>
          <w:szCs w:val="24"/>
        </w:rPr>
        <w:t xml:space="preserve"> with most</w:t>
      </w:r>
      <w:r w:rsidR="00DB6AFF" w:rsidRPr="0062396F">
        <w:rPr>
          <w:szCs w:val="24"/>
        </w:rPr>
        <w:t xml:space="preserve"> local authority lending managed to avoid negative rates and one feature of the year was the </w:t>
      </w:r>
      <w:r w:rsidR="00DB6AFF" w:rsidRPr="00DB6AFF">
        <w:rPr>
          <w:szCs w:val="24"/>
        </w:rPr>
        <w:t xml:space="preserve">continued growth of inter local authority lending.  </w:t>
      </w:r>
      <w:r w:rsidR="00622453">
        <w:rPr>
          <w:szCs w:val="24"/>
        </w:rPr>
        <w:t xml:space="preserve">The </w:t>
      </w:r>
      <w:proofErr w:type="spellStart"/>
      <w:r w:rsidR="00622453">
        <w:rPr>
          <w:szCs w:val="24"/>
        </w:rPr>
        <w:t>expection</w:t>
      </w:r>
      <w:proofErr w:type="spellEnd"/>
      <w:r w:rsidR="00622453">
        <w:rPr>
          <w:szCs w:val="24"/>
        </w:rPr>
        <w:t xml:space="preserve"> for </w:t>
      </w:r>
      <w:r w:rsidR="00622453" w:rsidRPr="00622453">
        <w:rPr>
          <w:szCs w:val="24"/>
        </w:rPr>
        <w:t xml:space="preserve">interest rates within the treasury management strategy for 2021/22 </w:t>
      </w:r>
      <w:r w:rsidR="00306EB7">
        <w:rPr>
          <w:szCs w:val="24"/>
        </w:rPr>
        <w:t xml:space="preserve">(table 10) </w:t>
      </w:r>
      <w:r w:rsidR="00622453" w:rsidRPr="00622453">
        <w:rPr>
          <w:szCs w:val="24"/>
        </w:rPr>
        <w:t>was that Bank Rate would remain at 0.1% until it was clear to the Bank of England that the emergency level of rates introduced at the start of the Covid-19 pandemic were no longer necessitated.</w:t>
      </w:r>
    </w:p>
    <w:p w14:paraId="5C7D84E5" w14:textId="6DF89341" w:rsidR="00731A82" w:rsidRDefault="00731A82" w:rsidP="00731A82">
      <w:pPr>
        <w:rPr>
          <w:szCs w:val="24"/>
        </w:rPr>
      </w:pPr>
    </w:p>
    <w:p w14:paraId="74362616" w14:textId="525483A3" w:rsidR="00731A82" w:rsidRPr="00B96C22" w:rsidRDefault="00731A82" w:rsidP="00B96C22">
      <w:pPr>
        <w:ind w:firstLine="567"/>
        <w:rPr>
          <w:rFonts w:cs="Arial"/>
          <w:sz w:val="20"/>
          <w:lang w:eastAsia="en-GB"/>
        </w:rPr>
      </w:pPr>
      <w:r>
        <w:rPr>
          <w:rFonts w:cs="Arial"/>
          <w:sz w:val="20"/>
          <w:lang w:eastAsia="en-GB"/>
        </w:rPr>
        <w:t>`</w:t>
      </w:r>
      <w:r w:rsidRPr="00B80383">
        <w:rPr>
          <w:rFonts w:cs="Arial"/>
          <w:sz w:val="20"/>
          <w:lang w:eastAsia="en-GB"/>
        </w:rPr>
        <w:t>Table 1</w:t>
      </w:r>
      <w:r>
        <w:rPr>
          <w:rFonts w:cs="Arial"/>
          <w:sz w:val="20"/>
          <w:lang w:eastAsia="en-GB"/>
        </w:rPr>
        <w:t>0</w:t>
      </w:r>
      <w:r w:rsidRPr="00B80383">
        <w:rPr>
          <w:rFonts w:cs="Arial"/>
          <w:sz w:val="20"/>
          <w:lang w:eastAsia="en-GB"/>
        </w:rPr>
        <w:t>: Link Asset Services Interest Rate Forecast</w:t>
      </w:r>
      <w:r>
        <w:rPr>
          <w:rFonts w:cs="Arial"/>
          <w:sz w:val="20"/>
          <w:lang w:eastAsia="en-GB"/>
        </w:rPr>
        <w:t xml:space="preserve"> 2021-2024 (TMSS 2021/22)</w:t>
      </w:r>
    </w:p>
    <w:p w14:paraId="2F18FCF7" w14:textId="3D8F115F" w:rsidR="00731A82" w:rsidRDefault="00731A82" w:rsidP="00B96C22">
      <w:pPr>
        <w:ind w:left="567"/>
        <w:rPr>
          <w:szCs w:val="24"/>
        </w:rPr>
      </w:pPr>
      <w:r>
        <w:rPr>
          <w:noProof/>
          <w:szCs w:val="24"/>
        </w:rPr>
        <w:lastRenderedPageBreak/>
        <w:drawing>
          <wp:inline distT="0" distB="0" distL="0" distR="0" wp14:anchorId="137DEC77" wp14:editId="0CB2AC77">
            <wp:extent cx="5279390" cy="1505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9390" cy="1505585"/>
                    </a:xfrm>
                    <a:prstGeom prst="rect">
                      <a:avLst/>
                    </a:prstGeom>
                    <a:noFill/>
                  </pic:spPr>
                </pic:pic>
              </a:graphicData>
            </a:graphic>
          </wp:inline>
        </w:drawing>
      </w:r>
    </w:p>
    <w:p w14:paraId="5BD38C04" w14:textId="082FF54C" w:rsidR="00DB6AFF" w:rsidRPr="0062396F" w:rsidRDefault="00DB6AFF" w:rsidP="00B96C22">
      <w:pPr>
        <w:rPr>
          <w:szCs w:val="24"/>
        </w:rPr>
      </w:pPr>
    </w:p>
    <w:p w14:paraId="11DF503E" w14:textId="714A986E" w:rsidR="003C54FD" w:rsidRDefault="003C54FD" w:rsidP="00731A82">
      <w:pPr>
        <w:pStyle w:val="ListParagraph"/>
        <w:numPr>
          <w:ilvl w:val="1"/>
          <w:numId w:val="44"/>
        </w:numPr>
        <w:jc w:val="both"/>
        <w:rPr>
          <w:szCs w:val="24"/>
        </w:rPr>
      </w:pPr>
      <w:r w:rsidRPr="0062396F">
        <w:rPr>
          <w:szCs w:val="24"/>
        </w:rPr>
        <w:t>The Government also supplied f</w:t>
      </w:r>
      <w:r w:rsidR="0062396F">
        <w:rPr>
          <w:szCs w:val="24"/>
        </w:rPr>
        <w:t>unding</w:t>
      </w:r>
      <w:r w:rsidRPr="0062396F">
        <w:rPr>
          <w:szCs w:val="24"/>
        </w:rPr>
        <w:t xml:space="preserve"> to local authorities to pass on to businesses.  This meant that for most</w:t>
      </w:r>
      <w:r w:rsidRPr="00E84785">
        <w:rPr>
          <w:szCs w:val="24"/>
        </w:rPr>
        <w:t xml:space="preserve"> of the year there was much more liquidity in financial markets than there was </w:t>
      </w:r>
      <w:proofErr w:type="gramStart"/>
      <w:r w:rsidRPr="00E84785">
        <w:rPr>
          <w:szCs w:val="24"/>
        </w:rPr>
        <w:t>demand</w:t>
      </w:r>
      <w:proofErr w:type="gramEnd"/>
      <w:r w:rsidRPr="00E84785">
        <w:rPr>
          <w:szCs w:val="24"/>
        </w:rPr>
        <w:t xml:space="preserve"> to borrow, with the consequent effect that investment earnings rates plummeted. </w:t>
      </w:r>
    </w:p>
    <w:p w14:paraId="271AB8E3" w14:textId="77777777" w:rsidR="00363880" w:rsidRDefault="00363880" w:rsidP="00B96C22">
      <w:pPr>
        <w:pStyle w:val="ListParagraph"/>
        <w:ind w:left="360"/>
        <w:jc w:val="both"/>
        <w:rPr>
          <w:szCs w:val="24"/>
        </w:rPr>
      </w:pPr>
    </w:p>
    <w:p w14:paraId="1C8C733F" w14:textId="0F3D8FDD" w:rsidR="00363880" w:rsidRDefault="00363880" w:rsidP="00731A82">
      <w:pPr>
        <w:pStyle w:val="ListParagraph"/>
        <w:numPr>
          <w:ilvl w:val="1"/>
          <w:numId w:val="44"/>
        </w:numPr>
        <w:jc w:val="both"/>
        <w:rPr>
          <w:szCs w:val="24"/>
        </w:rPr>
      </w:pPr>
      <w:r>
        <w:rPr>
          <w:szCs w:val="24"/>
        </w:rPr>
        <w:t xml:space="preserve"> The Authority’s continuing internal borrowing strategy means that i</w:t>
      </w:r>
      <w:r w:rsidRPr="00C320DB">
        <w:rPr>
          <w:szCs w:val="24"/>
        </w:rPr>
        <w:t>nvestmen</w:t>
      </w:r>
      <w:r>
        <w:rPr>
          <w:szCs w:val="24"/>
        </w:rPr>
        <w:t>ts are kept liquid, with balances</w:t>
      </w:r>
      <w:r w:rsidRPr="00C320DB">
        <w:rPr>
          <w:szCs w:val="24"/>
        </w:rPr>
        <w:t xml:space="preserve"> </w:t>
      </w:r>
      <w:r>
        <w:rPr>
          <w:szCs w:val="24"/>
        </w:rPr>
        <w:t>expected to be minimised</w:t>
      </w:r>
      <w:r w:rsidRPr="00C320DB">
        <w:rPr>
          <w:szCs w:val="24"/>
        </w:rPr>
        <w:t xml:space="preserve"> </w:t>
      </w:r>
      <w:proofErr w:type="gramStart"/>
      <w:r w:rsidRPr="00C320DB">
        <w:rPr>
          <w:szCs w:val="24"/>
        </w:rPr>
        <w:t xml:space="preserve">through the </w:t>
      </w:r>
      <w:r>
        <w:rPr>
          <w:szCs w:val="24"/>
        </w:rPr>
        <w:t>use of</w:t>
      </w:r>
      <w:proofErr w:type="gramEnd"/>
      <w:r w:rsidRPr="00C320DB">
        <w:rPr>
          <w:szCs w:val="24"/>
        </w:rPr>
        <w:t xml:space="preserve"> reserves and balances to support internal borrowing, rather than borrowing externally from the financial markets. External borrowing would have incurred an additional</w:t>
      </w:r>
      <w:r>
        <w:rPr>
          <w:szCs w:val="24"/>
        </w:rPr>
        <w:t xml:space="preserve"> revenue</w:t>
      </w:r>
      <w:r w:rsidRPr="00C320DB">
        <w:rPr>
          <w:szCs w:val="24"/>
        </w:rPr>
        <w:t xml:space="preserve"> cost, due to the differential between borrowing and investment rates.</w:t>
      </w:r>
    </w:p>
    <w:p w14:paraId="63A8F3E8" w14:textId="77777777" w:rsidR="003F5D32" w:rsidRPr="0062396F" w:rsidRDefault="003F5D32" w:rsidP="00B96C22">
      <w:pPr>
        <w:pStyle w:val="ListParagraph"/>
        <w:rPr>
          <w:szCs w:val="24"/>
        </w:rPr>
      </w:pPr>
    </w:p>
    <w:p w14:paraId="47C4CAE8" w14:textId="66D62DDE" w:rsidR="003F5D32" w:rsidRPr="00B96C22" w:rsidRDefault="003C0959" w:rsidP="00B96C22">
      <w:pPr>
        <w:pStyle w:val="ListParagraph"/>
        <w:ind w:left="360"/>
        <w:jc w:val="both"/>
        <w:rPr>
          <w:szCs w:val="24"/>
          <w:u w:val="single"/>
        </w:rPr>
      </w:pPr>
      <w:r w:rsidRPr="00B96C22">
        <w:rPr>
          <w:szCs w:val="24"/>
          <w:u w:val="single"/>
        </w:rPr>
        <w:t>Borrowing strategy for 2021/22</w:t>
      </w:r>
    </w:p>
    <w:p w14:paraId="1286404C" w14:textId="77777777" w:rsidR="00306EB7" w:rsidRPr="0062396F" w:rsidRDefault="00306EB7" w:rsidP="00B96C22">
      <w:pPr>
        <w:pStyle w:val="ListParagraph"/>
        <w:rPr>
          <w:szCs w:val="24"/>
        </w:rPr>
      </w:pPr>
    </w:p>
    <w:p w14:paraId="3E38A324" w14:textId="11E75F2F" w:rsidR="001E36F8" w:rsidRPr="0062396F" w:rsidRDefault="003F5D32" w:rsidP="0062396F">
      <w:pPr>
        <w:pStyle w:val="ListParagraph"/>
        <w:numPr>
          <w:ilvl w:val="1"/>
          <w:numId w:val="44"/>
        </w:numPr>
        <w:jc w:val="both"/>
        <w:rPr>
          <w:szCs w:val="24"/>
        </w:rPr>
      </w:pPr>
      <w:r>
        <w:rPr>
          <w:szCs w:val="24"/>
        </w:rPr>
        <w:t>As</w:t>
      </w:r>
      <w:r w:rsidR="00734B67">
        <w:rPr>
          <w:szCs w:val="24"/>
        </w:rPr>
        <w:t xml:space="preserve"> </w:t>
      </w:r>
      <w:r w:rsidRPr="00B96C22">
        <w:rPr>
          <w:rFonts w:cs="Arial"/>
          <w:szCs w:val="24"/>
          <w:lang w:eastAsia="en-GB"/>
        </w:rPr>
        <w:t xml:space="preserve">the interest forecast </w:t>
      </w:r>
      <w:r w:rsidR="00734B67" w:rsidRPr="00B96C22">
        <w:rPr>
          <w:rFonts w:cs="Arial"/>
          <w:szCs w:val="24"/>
          <w:lang w:eastAsia="en-GB"/>
        </w:rPr>
        <w:t xml:space="preserve">in </w:t>
      </w:r>
      <w:r w:rsidRPr="00B96C22">
        <w:rPr>
          <w:rFonts w:cs="Arial"/>
          <w:szCs w:val="24"/>
          <w:lang w:eastAsia="en-GB"/>
        </w:rPr>
        <w:t xml:space="preserve">table </w:t>
      </w:r>
      <w:r w:rsidR="00734B67" w:rsidRPr="00B96C22">
        <w:rPr>
          <w:rFonts w:cs="Arial"/>
          <w:szCs w:val="24"/>
          <w:lang w:eastAsia="en-GB"/>
        </w:rPr>
        <w:t xml:space="preserve">10 </w:t>
      </w:r>
      <w:r w:rsidRPr="00B96C22">
        <w:rPr>
          <w:rFonts w:cs="Arial"/>
          <w:szCs w:val="24"/>
          <w:lang w:eastAsia="en-GB"/>
        </w:rPr>
        <w:t xml:space="preserve">above illustrates, there </w:t>
      </w:r>
      <w:r w:rsidR="003C0959" w:rsidRPr="00B96C22">
        <w:rPr>
          <w:rFonts w:cs="Arial"/>
          <w:szCs w:val="24"/>
          <w:lang w:eastAsia="en-GB"/>
        </w:rPr>
        <w:t>was</w:t>
      </w:r>
      <w:r w:rsidRPr="00B96C22">
        <w:rPr>
          <w:rFonts w:cs="Arial"/>
          <w:szCs w:val="24"/>
          <w:lang w:eastAsia="en-GB"/>
        </w:rPr>
        <w:t xml:space="preserve"> expected to be little upward movement in PWLB rates over the </w:t>
      </w:r>
      <w:r w:rsidR="006B029B" w:rsidRPr="00B96C22">
        <w:rPr>
          <w:rFonts w:cs="Arial"/>
          <w:szCs w:val="24"/>
          <w:lang w:eastAsia="en-GB"/>
        </w:rPr>
        <w:t>period from March 2021 to March 202</w:t>
      </w:r>
      <w:r w:rsidR="00734B67" w:rsidRPr="00B96C22">
        <w:rPr>
          <w:rFonts w:cs="Arial"/>
          <w:szCs w:val="24"/>
          <w:lang w:eastAsia="en-GB"/>
        </w:rPr>
        <w:t xml:space="preserve">4 </w:t>
      </w:r>
      <w:r w:rsidRPr="00B96C22">
        <w:rPr>
          <w:rFonts w:cs="Arial"/>
          <w:szCs w:val="24"/>
          <w:lang w:eastAsia="en-GB"/>
        </w:rPr>
        <w:t xml:space="preserve"> </w:t>
      </w:r>
      <w:r w:rsidR="00D5285A" w:rsidRPr="00B96C22">
        <w:rPr>
          <w:rFonts w:cs="Arial"/>
          <w:szCs w:val="24"/>
          <w:lang w:eastAsia="en-GB"/>
        </w:rPr>
        <w:t>based on the expectation that it would</w:t>
      </w:r>
      <w:r w:rsidRPr="00B96C22">
        <w:rPr>
          <w:rFonts w:cs="Arial"/>
          <w:szCs w:val="24"/>
          <w:lang w:eastAsia="en-GB"/>
        </w:rPr>
        <w:t xml:space="preserve"> take economies, including the UK, a prolonged period to recover all the momentum they have lost in the sharp recession caused during the coronavirus shut down period</w:t>
      </w:r>
    </w:p>
    <w:p w14:paraId="4AB4E423" w14:textId="77777777" w:rsidR="001E36F8" w:rsidRPr="0062396F" w:rsidRDefault="001E36F8" w:rsidP="00B96C22">
      <w:pPr>
        <w:pStyle w:val="ListParagraph"/>
        <w:rPr>
          <w:szCs w:val="24"/>
        </w:rPr>
      </w:pPr>
    </w:p>
    <w:p w14:paraId="3A6EE0DA" w14:textId="6E1BBA6A" w:rsidR="001E36F8" w:rsidRDefault="00B6406C" w:rsidP="00731A82">
      <w:pPr>
        <w:pStyle w:val="ListParagraph"/>
        <w:numPr>
          <w:ilvl w:val="1"/>
          <w:numId w:val="44"/>
        </w:numPr>
        <w:jc w:val="both"/>
        <w:rPr>
          <w:szCs w:val="24"/>
        </w:rPr>
      </w:pPr>
      <w:r>
        <w:rPr>
          <w:szCs w:val="24"/>
        </w:rPr>
        <w:t xml:space="preserve"> During </w:t>
      </w:r>
      <w:r w:rsidRPr="00DB6AFF">
        <w:rPr>
          <w:rFonts w:cs="Arial"/>
          <w:color w:val="0D0D0D" w:themeColor="text1" w:themeTint="F2"/>
          <w:szCs w:val="24"/>
        </w:rPr>
        <w:t>2021</w:t>
      </w:r>
      <w:r w:rsidRPr="00B310D5">
        <w:rPr>
          <w:rFonts w:cs="Arial"/>
          <w:color w:val="0D0D0D" w:themeColor="text1" w:themeTint="F2"/>
          <w:szCs w:val="24"/>
        </w:rPr>
        <w:t xml:space="preserve">/22 the Council maintained an internal borrowing position and no new external borrowing was taken during the year.  The CFR increased by a relatively small £17.5m during </w:t>
      </w:r>
      <w:r w:rsidRPr="00B310D5">
        <w:rPr>
          <w:szCs w:val="24"/>
        </w:rPr>
        <w:t>2021/22, which resulted in the internal borrowing position of the Authority increasing from £133m to £150m.  This additional borrowing requirement was met through increasing the internal borrowing position through the temporary use of resources available on the balance sheet rather than through additional external borrowing.</w:t>
      </w:r>
    </w:p>
    <w:p w14:paraId="6E71D112" w14:textId="77777777" w:rsidR="00E41F63" w:rsidRPr="0062396F" w:rsidRDefault="00E41F63" w:rsidP="00B96C22">
      <w:pPr>
        <w:pStyle w:val="ListParagraph"/>
        <w:rPr>
          <w:szCs w:val="24"/>
        </w:rPr>
      </w:pPr>
    </w:p>
    <w:p w14:paraId="38CB686C" w14:textId="5466C9DA" w:rsidR="00E41F63" w:rsidRDefault="00E41F63" w:rsidP="00731A82">
      <w:pPr>
        <w:pStyle w:val="ListParagraph"/>
        <w:numPr>
          <w:ilvl w:val="1"/>
          <w:numId w:val="44"/>
        </w:numPr>
        <w:jc w:val="both"/>
        <w:rPr>
          <w:szCs w:val="24"/>
        </w:rPr>
      </w:pPr>
      <w:r>
        <w:rPr>
          <w:szCs w:val="24"/>
        </w:rPr>
        <w:t xml:space="preserve">This means </w:t>
      </w:r>
      <w:r w:rsidRPr="00AB630A">
        <w:rPr>
          <w:szCs w:val="24"/>
        </w:rPr>
        <w:t>that the capital borrowing need, (the Capital Financing Requirement), was not fully funded with loan debt, as cash supporting the Council’s reserves, balances and cash flow has continued to be used as an interim measure.</w:t>
      </w:r>
    </w:p>
    <w:p w14:paraId="5D2E8D41" w14:textId="77777777" w:rsidR="00E41F63" w:rsidRPr="0062396F" w:rsidRDefault="00E41F63" w:rsidP="00B96C22">
      <w:pPr>
        <w:pStyle w:val="ListParagraph"/>
        <w:rPr>
          <w:szCs w:val="24"/>
        </w:rPr>
      </w:pPr>
    </w:p>
    <w:p w14:paraId="065A9C65" w14:textId="273EB7E1" w:rsidR="00E41F63" w:rsidRPr="00B96C22" w:rsidRDefault="00E41F63" w:rsidP="00731A82">
      <w:pPr>
        <w:pStyle w:val="ListParagraph"/>
        <w:numPr>
          <w:ilvl w:val="1"/>
          <w:numId w:val="44"/>
        </w:numPr>
        <w:jc w:val="both"/>
        <w:rPr>
          <w:szCs w:val="24"/>
        </w:rPr>
      </w:pPr>
      <w:r>
        <w:rPr>
          <w:szCs w:val="24"/>
        </w:rPr>
        <w:t xml:space="preserve"> The policy </w:t>
      </w:r>
      <w:r w:rsidRPr="00A86F66">
        <w:rPr>
          <w:rFonts w:cs="Arial"/>
          <w:color w:val="0D0D0D" w:themeColor="text1" w:themeTint="F2"/>
          <w:szCs w:val="24"/>
        </w:rPr>
        <w:t xml:space="preserve">of avoiding new borrowing by running down spare cash balances, has served well over the last few years.  However, this </w:t>
      </w:r>
      <w:r w:rsidR="00FA3088">
        <w:rPr>
          <w:rFonts w:cs="Arial"/>
          <w:color w:val="0D0D0D" w:themeColor="text1" w:themeTint="F2"/>
          <w:szCs w:val="24"/>
        </w:rPr>
        <w:t xml:space="preserve">will </w:t>
      </w:r>
      <w:proofErr w:type="gramStart"/>
      <w:r w:rsidR="00FA3088">
        <w:rPr>
          <w:rFonts w:cs="Arial"/>
          <w:color w:val="0D0D0D" w:themeColor="text1" w:themeTint="F2"/>
          <w:szCs w:val="24"/>
        </w:rPr>
        <w:t xml:space="preserve">be </w:t>
      </w:r>
      <w:r w:rsidRPr="00A86F66">
        <w:rPr>
          <w:rFonts w:cs="Arial"/>
          <w:color w:val="0D0D0D" w:themeColor="text1" w:themeTint="F2"/>
          <w:szCs w:val="24"/>
        </w:rPr>
        <w:t>has</w:t>
      </w:r>
      <w:proofErr w:type="gramEnd"/>
      <w:r w:rsidRPr="00A86F66">
        <w:rPr>
          <w:rFonts w:cs="Arial"/>
          <w:color w:val="0D0D0D" w:themeColor="text1" w:themeTint="F2"/>
          <w:szCs w:val="24"/>
        </w:rPr>
        <w:t xml:space="preserve"> kept under review to avoid incurring higher borrowing costs in the future when the Authority may not be able to avoid new borrowing to finance capital expenditure and/or the refinancing of maturing debt.  </w:t>
      </w:r>
    </w:p>
    <w:p w14:paraId="0AE0DBF5" w14:textId="77777777" w:rsidR="00C23671" w:rsidRPr="0062396F" w:rsidRDefault="00C23671" w:rsidP="00B96C22">
      <w:pPr>
        <w:pStyle w:val="ListParagraph"/>
        <w:rPr>
          <w:szCs w:val="24"/>
        </w:rPr>
      </w:pPr>
    </w:p>
    <w:p w14:paraId="2C210C47" w14:textId="55F1D913" w:rsidR="00C23671" w:rsidRPr="00B96C22" w:rsidRDefault="00C23671" w:rsidP="00731A82">
      <w:pPr>
        <w:pStyle w:val="ListParagraph"/>
        <w:numPr>
          <w:ilvl w:val="1"/>
          <w:numId w:val="44"/>
        </w:numPr>
        <w:jc w:val="both"/>
        <w:rPr>
          <w:szCs w:val="24"/>
        </w:rPr>
      </w:pPr>
      <w:r>
        <w:rPr>
          <w:szCs w:val="24"/>
        </w:rPr>
        <w:t xml:space="preserve">Link Group’s </w:t>
      </w:r>
      <w:r w:rsidRPr="00A332A5">
        <w:rPr>
          <w:rFonts w:cs="Arial"/>
          <w:color w:val="0D0D0D" w:themeColor="text1" w:themeTint="F2"/>
          <w:szCs w:val="24"/>
        </w:rPr>
        <w:t>economic review of 202</w:t>
      </w:r>
      <w:r>
        <w:rPr>
          <w:rFonts w:cs="Arial"/>
          <w:color w:val="0D0D0D" w:themeColor="text1" w:themeTint="F2"/>
          <w:szCs w:val="24"/>
        </w:rPr>
        <w:t>1</w:t>
      </w:r>
      <w:r w:rsidRPr="00A332A5">
        <w:rPr>
          <w:rFonts w:cs="Arial"/>
          <w:color w:val="0D0D0D" w:themeColor="text1" w:themeTint="F2"/>
          <w:szCs w:val="24"/>
        </w:rPr>
        <w:t>/2</w:t>
      </w:r>
      <w:r>
        <w:rPr>
          <w:rFonts w:cs="Arial"/>
          <w:color w:val="0D0D0D" w:themeColor="text1" w:themeTint="F2"/>
          <w:szCs w:val="24"/>
        </w:rPr>
        <w:t>2</w:t>
      </w:r>
      <w:r w:rsidRPr="00A332A5">
        <w:rPr>
          <w:rFonts w:cs="Arial"/>
          <w:color w:val="0D0D0D" w:themeColor="text1" w:themeTint="F2"/>
          <w:szCs w:val="24"/>
        </w:rPr>
        <w:t xml:space="preserve"> and their associated interest rate forecasts</w:t>
      </w:r>
      <w:r>
        <w:rPr>
          <w:rFonts w:cs="Arial"/>
          <w:color w:val="0D0D0D" w:themeColor="text1" w:themeTint="F2"/>
          <w:szCs w:val="24"/>
        </w:rPr>
        <w:t xml:space="preserve"> at the start and close of the year</w:t>
      </w:r>
      <w:r w:rsidRPr="00A332A5">
        <w:rPr>
          <w:rFonts w:cs="Arial"/>
          <w:color w:val="0D0D0D" w:themeColor="text1" w:themeTint="F2"/>
          <w:szCs w:val="24"/>
        </w:rPr>
        <w:t xml:space="preserve"> are contained in Appendix 1.</w:t>
      </w:r>
    </w:p>
    <w:p w14:paraId="35ECC992" w14:textId="77777777" w:rsidR="00C23671" w:rsidRPr="0062396F" w:rsidRDefault="00C23671" w:rsidP="00B96C22">
      <w:pPr>
        <w:pStyle w:val="ListParagraph"/>
        <w:rPr>
          <w:szCs w:val="24"/>
        </w:rPr>
      </w:pPr>
    </w:p>
    <w:p w14:paraId="45FE986E" w14:textId="40542A84" w:rsidR="00A81E19" w:rsidRPr="008A1A78" w:rsidRDefault="00A81E19" w:rsidP="00F0073B">
      <w:pPr>
        <w:pStyle w:val="Heading2"/>
        <w:numPr>
          <w:ilvl w:val="0"/>
          <w:numId w:val="26"/>
        </w:numPr>
        <w:tabs>
          <w:tab w:val="left" w:pos="567"/>
        </w:tabs>
        <w:ind w:left="426" w:hanging="426"/>
        <w:jc w:val="both"/>
        <w:rPr>
          <w:sz w:val="24"/>
          <w:szCs w:val="24"/>
        </w:rPr>
      </w:pPr>
      <w:r w:rsidRPr="008A1A78">
        <w:rPr>
          <w:sz w:val="24"/>
          <w:szCs w:val="24"/>
        </w:rPr>
        <w:lastRenderedPageBreak/>
        <w:t>Risk Management Implications</w:t>
      </w:r>
    </w:p>
    <w:p w14:paraId="532AA002" w14:textId="77777777" w:rsidR="00A81E19" w:rsidRPr="008A1A78" w:rsidRDefault="00A81E19" w:rsidP="00AF66F2">
      <w:pPr>
        <w:pStyle w:val="Heading4"/>
        <w:jc w:val="both"/>
        <w:rPr>
          <w:b w:val="0"/>
          <w:szCs w:val="24"/>
        </w:rPr>
      </w:pPr>
    </w:p>
    <w:p w14:paraId="413B70D0" w14:textId="635DBE0F" w:rsidR="00D01D88" w:rsidRDefault="00D01D88" w:rsidP="00507F19">
      <w:pPr>
        <w:ind w:left="720" w:hanging="720"/>
        <w:rPr>
          <w:rFonts w:ascii="Calibri" w:hAnsi="Calibri"/>
          <w:sz w:val="22"/>
        </w:rPr>
      </w:pPr>
      <w:r>
        <w:t>10.1</w:t>
      </w:r>
      <w:r>
        <w:tab/>
        <w:t>This report is for noting and Cabinet are not being asked to make any decisions hence there are no direct risk management implications to this report.</w:t>
      </w:r>
    </w:p>
    <w:p w14:paraId="0AE9056F" w14:textId="53465CB3" w:rsidR="009C523F" w:rsidRPr="008A1A78" w:rsidRDefault="009C523F" w:rsidP="00954FCF">
      <w:pPr>
        <w:jc w:val="both"/>
        <w:rPr>
          <w:color w:val="FF0000"/>
          <w:szCs w:val="24"/>
          <w:lang w:val="en-US"/>
        </w:rPr>
      </w:pPr>
    </w:p>
    <w:p w14:paraId="3A64D6CD" w14:textId="7C488251" w:rsidR="002A3FEF" w:rsidRPr="008A1A78" w:rsidRDefault="002A3FEF" w:rsidP="00F0073B">
      <w:pPr>
        <w:pStyle w:val="Heading2"/>
        <w:numPr>
          <w:ilvl w:val="0"/>
          <w:numId w:val="27"/>
        </w:numPr>
        <w:tabs>
          <w:tab w:val="left" w:pos="567"/>
        </w:tabs>
        <w:ind w:left="426" w:hanging="426"/>
        <w:jc w:val="both"/>
        <w:rPr>
          <w:sz w:val="24"/>
          <w:szCs w:val="24"/>
        </w:rPr>
      </w:pPr>
      <w:r w:rsidRPr="008A1A78">
        <w:rPr>
          <w:sz w:val="24"/>
          <w:szCs w:val="24"/>
        </w:rPr>
        <w:t xml:space="preserve">Procurement Implications </w:t>
      </w:r>
    </w:p>
    <w:p w14:paraId="49913689" w14:textId="77777777" w:rsidR="005641E0" w:rsidRPr="00A86F66" w:rsidRDefault="005641E0" w:rsidP="00731669">
      <w:pPr>
        <w:tabs>
          <w:tab w:val="left" w:pos="567"/>
        </w:tabs>
        <w:jc w:val="both"/>
        <w:rPr>
          <w:szCs w:val="24"/>
          <w:highlight w:val="yellow"/>
        </w:rPr>
      </w:pPr>
    </w:p>
    <w:p w14:paraId="62E60B38" w14:textId="77777777" w:rsidR="002A3FEF" w:rsidRPr="008A1A78" w:rsidRDefault="004C0103" w:rsidP="00731669">
      <w:pPr>
        <w:tabs>
          <w:tab w:val="left" w:pos="567"/>
        </w:tabs>
        <w:ind w:left="567"/>
        <w:jc w:val="both"/>
        <w:rPr>
          <w:szCs w:val="24"/>
        </w:rPr>
      </w:pPr>
      <w:r w:rsidRPr="008A1A78">
        <w:rPr>
          <w:szCs w:val="24"/>
        </w:rPr>
        <w:t>There are no procurement implication arising from this report</w:t>
      </w:r>
    </w:p>
    <w:p w14:paraId="16739F46" w14:textId="77777777" w:rsidR="00954FCF" w:rsidRPr="00954FCF" w:rsidRDefault="00954FCF" w:rsidP="00954FCF"/>
    <w:p w14:paraId="50268769" w14:textId="0804F58C" w:rsidR="00333FAA" w:rsidRPr="008A1A78" w:rsidRDefault="00333FAA" w:rsidP="00F0073B">
      <w:pPr>
        <w:pStyle w:val="Heading2"/>
        <w:numPr>
          <w:ilvl w:val="0"/>
          <w:numId w:val="29"/>
        </w:numPr>
        <w:tabs>
          <w:tab w:val="left" w:pos="567"/>
        </w:tabs>
        <w:ind w:left="426" w:hanging="426"/>
        <w:jc w:val="both"/>
        <w:rPr>
          <w:sz w:val="24"/>
          <w:szCs w:val="24"/>
        </w:rPr>
      </w:pPr>
      <w:r w:rsidRPr="008A1A78">
        <w:rPr>
          <w:sz w:val="24"/>
          <w:szCs w:val="24"/>
        </w:rPr>
        <w:t>Legal Implications</w:t>
      </w:r>
    </w:p>
    <w:p w14:paraId="414CA36C" w14:textId="34263C7A" w:rsidR="00176056" w:rsidRPr="008A1A78" w:rsidRDefault="00176056" w:rsidP="00176056"/>
    <w:p w14:paraId="7125A913" w14:textId="358D88F0" w:rsidR="005641E0" w:rsidRPr="008A1A78" w:rsidRDefault="00D01D88" w:rsidP="00A94722">
      <w:pPr>
        <w:ind w:left="720" w:hanging="720"/>
        <w:jc w:val="both"/>
        <w:rPr>
          <w:szCs w:val="24"/>
        </w:rPr>
      </w:pPr>
      <w:r>
        <w:rPr>
          <w:rFonts w:ascii="ArialMT" w:hAnsi="ArialMT" w:cs="ArialMT"/>
          <w:szCs w:val="24"/>
          <w:lang w:eastAsia="en-GB"/>
        </w:rPr>
        <w:t>12.1</w:t>
      </w:r>
      <w:r>
        <w:rPr>
          <w:rFonts w:ascii="ArialMT" w:hAnsi="ArialMT" w:cs="ArialMT"/>
          <w:szCs w:val="24"/>
          <w:lang w:eastAsia="en-GB"/>
        </w:rPr>
        <w:tab/>
      </w:r>
      <w:r w:rsidR="00176056" w:rsidRPr="006878EF">
        <w:rPr>
          <w:rFonts w:ascii="ArialMT" w:hAnsi="ArialMT" w:cs="ArialMT"/>
          <w:szCs w:val="24"/>
          <w:lang w:eastAsia="en-GB"/>
        </w:rPr>
        <w:t xml:space="preserve">The Local Government Act 2003 requires the Council to ‘have regard to’ the </w:t>
      </w:r>
      <w:r w:rsidR="00176056" w:rsidRPr="00A35A5E">
        <w:rPr>
          <w:rFonts w:cs="Arial"/>
          <w:szCs w:val="24"/>
          <w:lang w:eastAsia="en-GB"/>
        </w:rPr>
        <w:t xml:space="preserve">Prudential Code and to set Prudential Indicators for the next three years to </w:t>
      </w:r>
      <w:r w:rsidR="00176056" w:rsidRPr="00A35A5E">
        <w:rPr>
          <w:rFonts w:ascii="ArialMT" w:hAnsi="ArialMT" w:cs="ArialMT"/>
          <w:szCs w:val="24"/>
          <w:lang w:eastAsia="en-GB"/>
        </w:rPr>
        <w:t xml:space="preserve">ensure that the Council’s capital investment plans are affordable, </w:t>
      </w:r>
      <w:proofErr w:type="gramStart"/>
      <w:r w:rsidR="00176056" w:rsidRPr="00A35A5E">
        <w:rPr>
          <w:rFonts w:ascii="ArialMT" w:hAnsi="ArialMT" w:cs="ArialMT"/>
          <w:szCs w:val="24"/>
          <w:lang w:eastAsia="en-GB"/>
        </w:rPr>
        <w:t>prudent</w:t>
      </w:r>
      <w:proofErr w:type="gramEnd"/>
      <w:r w:rsidR="00176056" w:rsidRPr="00A35A5E">
        <w:rPr>
          <w:rFonts w:ascii="ArialMT" w:hAnsi="ArialMT" w:cs="ArialMT"/>
          <w:szCs w:val="24"/>
          <w:lang w:eastAsia="en-GB"/>
        </w:rPr>
        <w:t xml:space="preserve"> and </w:t>
      </w:r>
      <w:r w:rsidR="00176056" w:rsidRPr="008A1A78">
        <w:rPr>
          <w:rFonts w:cs="Arial"/>
          <w:szCs w:val="24"/>
          <w:lang w:eastAsia="en-GB"/>
        </w:rPr>
        <w:t xml:space="preserve">sustainable. These are contained within this report.  The Act requires the Council to set out its treasury strategy for borrowing </w:t>
      </w:r>
      <w:r w:rsidR="00176056" w:rsidRPr="008A1A78">
        <w:rPr>
          <w:rFonts w:ascii="ArialMT" w:hAnsi="ArialMT" w:cs="ArialMT"/>
          <w:szCs w:val="24"/>
          <w:lang w:eastAsia="en-GB"/>
        </w:rPr>
        <w:t xml:space="preserve">and to prepare an Annual Investment Strategy. This sets out the Council’s </w:t>
      </w:r>
      <w:r w:rsidR="00176056"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01F2AAEE" w14:textId="2DE9398A" w:rsidR="005641E0" w:rsidRDefault="005641E0" w:rsidP="00731669">
      <w:pPr>
        <w:ind w:left="567"/>
        <w:jc w:val="both"/>
        <w:rPr>
          <w:b/>
          <w:szCs w:val="24"/>
        </w:rPr>
      </w:pPr>
    </w:p>
    <w:p w14:paraId="1222B777" w14:textId="426F1AAE" w:rsidR="0054590F" w:rsidRDefault="00333FAA" w:rsidP="00F0073B">
      <w:pPr>
        <w:pStyle w:val="Heading2"/>
        <w:numPr>
          <w:ilvl w:val="0"/>
          <w:numId w:val="31"/>
        </w:numPr>
        <w:tabs>
          <w:tab w:val="left" w:pos="567"/>
        </w:tabs>
        <w:ind w:left="426" w:hanging="426"/>
        <w:jc w:val="both"/>
        <w:rPr>
          <w:sz w:val="24"/>
          <w:szCs w:val="24"/>
        </w:rPr>
      </w:pPr>
      <w:r w:rsidRPr="008A1A78">
        <w:rPr>
          <w:sz w:val="24"/>
          <w:szCs w:val="24"/>
        </w:rPr>
        <w:t>Financial Implications</w:t>
      </w:r>
    </w:p>
    <w:p w14:paraId="3B5F668B" w14:textId="77777777" w:rsidR="00D01D88" w:rsidRPr="008711C4" w:rsidRDefault="00D01D88" w:rsidP="00507F19"/>
    <w:p w14:paraId="58E51DB5" w14:textId="7958FA2B" w:rsidR="0054590F" w:rsidRPr="008A1A78" w:rsidRDefault="00D01D88" w:rsidP="00731669">
      <w:pPr>
        <w:tabs>
          <w:tab w:val="left" w:pos="709"/>
        </w:tabs>
        <w:ind w:left="567" w:hanging="567"/>
        <w:jc w:val="both"/>
        <w:rPr>
          <w:szCs w:val="24"/>
        </w:rPr>
      </w:pPr>
      <w:r>
        <w:rPr>
          <w:szCs w:val="24"/>
        </w:rPr>
        <w:t>13.1</w:t>
      </w:r>
      <w:r>
        <w:rPr>
          <w:szCs w:val="24"/>
        </w:rPr>
        <w:tab/>
      </w:r>
      <w:r w:rsidR="00176056" w:rsidRPr="006878EF">
        <w:t>In addition to supporting the Council’s revenue and capital programmes the Treasury Management interest budget  is an important part of the revenue budget. Any savings achieved, or overspends incurred, have a direct impact on the financial performance of the budget</w:t>
      </w:r>
    </w:p>
    <w:p w14:paraId="68B17B8C" w14:textId="77777777" w:rsidR="001C7E35" w:rsidRPr="008A1A78" w:rsidRDefault="001C7E35" w:rsidP="00AF66F2">
      <w:pPr>
        <w:pStyle w:val="Heading2"/>
        <w:jc w:val="both"/>
        <w:rPr>
          <w:sz w:val="24"/>
          <w:szCs w:val="24"/>
        </w:rPr>
      </w:pPr>
    </w:p>
    <w:p w14:paraId="7BDD9F0B" w14:textId="55EDBA76" w:rsidR="00333FAA" w:rsidRDefault="00333FAA" w:rsidP="00DA2286">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507F19"/>
    <w:p w14:paraId="6F2E1C32" w14:textId="108AF3C3" w:rsidR="00990FE6" w:rsidRPr="008A1A78" w:rsidRDefault="00D01D88" w:rsidP="00507F19">
      <w:pPr>
        <w:ind w:left="720" w:hanging="720"/>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AF66F2">
      <w:pPr>
        <w:ind w:left="709"/>
        <w:jc w:val="both"/>
        <w:rPr>
          <w:szCs w:val="24"/>
        </w:rPr>
      </w:pPr>
    </w:p>
    <w:p w14:paraId="077E6F5B" w14:textId="3ED29322" w:rsidR="00333FAA" w:rsidRDefault="00333FAA" w:rsidP="00DA2286">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507F19"/>
    <w:p w14:paraId="7DA79BD9" w14:textId="04FF0A5E" w:rsidR="006878EF" w:rsidRPr="008A1A78" w:rsidRDefault="00D01D88" w:rsidP="00A94722">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77777777" w:rsidR="00333FAA" w:rsidRPr="008A1A78" w:rsidRDefault="00333FAA" w:rsidP="00333FAA">
      <w:pPr>
        <w:rPr>
          <w:szCs w:val="24"/>
        </w:rPr>
      </w:pPr>
    </w:p>
    <w:p w14:paraId="3C91FDA7" w14:textId="77777777" w:rsidR="00307F76" w:rsidRPr="008A1A78" w:rsidRDefault="00307F76" w:rsidP="00307F76">
      <w:pPr>
        <w:rPr>
          <w:rFonts w:cs="Arial"/>
        </w:rPr>
      </w:pPr>
    </w:p>
    <w:p w14:paraId="47BCC815" w14:textId="77777777"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0AD3F108" w14:textId="182EACBD" w:rsidR="00166B73" w:rsidRPr="008A1A78" w:rsidRDefault="00166B73" w:rsidP="00166B73">
      <w:pPr>
        <w:spacing w:after="480"/>
        <w:rPr>
          <w:sz w:val="28"/>
        </w:rPr>
      </w:pPr>
      <w:r w:rsidRPr="008A1A78">
        <w:rPr>
          <w:b/>
          <w:sz w:val="28"/>
        </w:rPr>
        <w:t xml:space="preserve">Date:  </w:t>
      </w:r>
      <w:r w:rsidR="00A81373">
        <w:rPr>
          <w:b/>
          <w:sz w:val="28"/>
        </w:rPr>
        <w:t>5/07/2022</w:t>
      </w:r>
    </w:p>
    <w:p w14:paraId="6D977FBF" w14:textId="77777777" w:rsidR="00DD6B82" w:rsidRDefault="00166B73" w:rsidP="00166B73">
      <w:pPr>
        <w:rPr>
          <w:b/>
          <w:sz w:val="28"/>
        </w:rPr>
      </w:pPr>
      <w:r w:rsidRPr="008A1A78">
        <w:rPr>
          <w:b/>
          <w:sz w:val="28"/>
        </w:rPr>
        <w:t xml:space="preserve">Statutory Officer: </w:t>
      </w:r>
      <w:r w:rsidR="00954FCF">
        <w:rPr>
          <w:b/>
          <w:sz w:val="28"/>
        </w:rPr>
        <w:t>Caroline Eccles</w:t>
      </w:r>
    </w:p>
    <w:p w14:paraId="49DD4E8A" w14:textId="0B70486F" w:rsidR="00166B73" w:rsidRPr="008A1A78" w:rsidRDefault="00166B73" w:rsidP="00166B73">
      <w:r w:rsidRPr="008A1A78">
        <w:lastRenderedPageBreak/>
        <w:t>Signed on behalf of the Monitoring Officer</w:t>
      </w:r>
    </w:p>
    <w:p w14:paraId="0A1EC408" w14:textId="1F401801" w:rsidR="00166B73" w:rsidRPr="008A1A78" w:rsidRDefault="00166B73" w:rsidP="00166B73">
      <w:pPr>
        <w:spacing w:after="480"/>
        <w:rPr>
          <w:sz w:val="28"/>
        </w:rPr>
      </w:pPr>
      <w:r w:rsidRPr="008A1A78">
        <w:rPr>
          <w:b/>
          <w:sz w:val="28"/>
        </w:rPr>
        <w:t xml:space="preserve">Date:  </w:t>
      </w:r>
      <w:r w:rsidR="00954FCF">
        <w:rPr>
          <w:b/>
          <w:sz w:val="28"/>
        </w:rPr>
        <w:t>5/07/2022</w:t>
      </w:r>
    </w:p>
    <w:p w14:paraId="59531151" w14:textId="37A238F9" w:rsidR="00166B73" w:rsidRPr="008A1A78" w:rsidRDefault="00166B73" w:rsidP="00166B73">
      <w:pPr>
        <w:rPr>
          <w:sz w:val="28"/>
        </w:rPr>
      </w:pPr>
      <w:r w:rsidRPr="008A1A78">
        <w:rPr>
          <w:b/>
          <w:sz w:val="28"/>
        </w:rPr>
        <w:t xml:space="preserve">Chief Officer:  </w:t>
      </w:r>
      <w:r w:rsidR="00A81373">
        <w:rPr>
          <w:b/>
          <w:sz w:val="28"/>
        </w:rPr>
        <w:t>Dawn Calvert</w:t>
      </w:r>
    </w:p>
    <w:p w14:paraId="62CC2E6C" w14:textId="145192B7" w:rsidR="00166B73" w:rsidRPr="008A1A78" w:rsidRDefault="00166B73" w:rsidP="00166B73">
      <w:r w:rsidRPr="008A1A78">
        <w:t xml:space="preserve">Signed by the Corporate </w:t>
      </w:r>
      <w:r w:rsidR="004325F9" w:rsidRPr="008A1A78">
        <w:t>Director</w:t>
      </w:r>
    </w:p>
    <w:p w14:paraId="1EAD8204" w14:textId="1A767141" w:rsidR="00954FCF" w:rsidRDefault="00166B73" w:rsidP="00E37F2D">
      <w:pPr>
        <w:spacing w:after="480"/>
        <w:rPr>
          <w:b/>
          <w:sz w:val="28"/>
        </w:rPr>
      </w:pPr>
      <w:r w:rsidRPr="008A1A78">
        <w:rPr>
          <w:b/>
          <w:sz w:val="28"/>
        </w:rPr>
        <w:t xml:space="preserve">Date:  </w:t>
      </w:r>
      <w:r w:rsidR="00A81373">
        <w:rPr>
          <w:b/>
          <w:sz w:val="28"/>
        </w:rPr>
        <w:t>5/07/2022</w:t>
      </w:r>
    </w:p>
    <w:p w14:paraId="6A09054B" w14:textId="757A5CAF" w:rsidR="00166B73" w:rsidRPr="008A1A78" w:rsidRDefault="00166B73" w:rsidP="00166B73">
      <w:pPr>
        <w:rPr>
          <w:sz w:val="28"/>
        </w:rPr>
      </w:pPr>
      <w:r w:rsidRPr="008A1A78">
        <w:rPr>
          <w:b/>
          <w:sz w:val="28"/>
        </w:rPr>
        <w:t>Head of Procurement:  Nimesh Mehta</w:t>
      </w:r>
    </w:p>
    <w:p w14:paraId="771CF306" w14:textId="30F0399B" w:rsidR="00166B73" w:rsidRPr="008A1A78" w:rsidRDefault="00166B73" w:rsidP="00166B73">
      <w:r w:rsidRPr="008A1A78">
        <w:t>Signed by the Head of Procurement</w:t>
      </w:r>
    </w:p>
    <w:p w14:paraId="72B6B1A2" w14:textId="57C8D48E" w:rsidR="00166B73" w:rsidRPr="008A1A78" w:rsidRDefault="00166B73" w:rsidP="00166B73">
      <w:pPr>
        <w:spacing w:after="480"/>
        <w:rPr>
          <w:sz w:val="28"/>
        </w:rPr>
      </w:pPr>
      <w:r w:rsidRPr="008A1A78">
        <w:rPr>
          <w:b/>
          <w:sz w:val="28"/>
        </w:rPr>
        <w:t xml:space="preserve">Date:  </w:t>
      </w:r>
      <w:r w:rsidR="00A81373">
        <w:rPr>
          <w:b/>
          <w:sz w:val="28"/>
        </w:rPr>
        <w:t>5/07/2022</w:t>
      </w:r>
    </w:p>
    <w:p w14:paraId="34A45030" w14:textId="77777777" w:rsidR="00166B73" w:rsidRPr="008A1A78" w:rsidRDefault="00166B73" w:rsidP="00166B73">
      <w:pPr>
        <w:pStyle w:val="Heading2"/>
        <w:spacing w:before="480" w:after="240"/>
      </w:pPr>
      <w:r w:rsidRPr="008A1A78">
        <w:t>Mandatory Checks</w:t>
      </w:r>
    </w:p>
    <w:p w14:paraId="1EA50314" w14:textId="7724211E" w:rsidR="00166B73" w:rsidRPr="00DD6B82" w:rsidRDefault="00166B73" w:rsidP="00166B73">
      <w:pPr>
        <w:pStyle w:val="Heading3"/>
        <w:ind w:left="0" w:firstLine="0"/>
        <w:jc w:val="left"/>
        <w:rPr>
          <w:b w:val="0"/>
          <w:bCs w:val="0"/>
          <w:i w:val="0"/>
          <w:iCs/>
        </w:rPr>
      </w:pPr>
      <w:r w:rsidRPr="00E37F2D">
        <w:rPr>
          <w:i w:val="0"/>
          <w:iCs/>
        </w:rPr>
        <w:t xml:space="preserve">Ward Councillors notified:   </w:t>
      </w:r>
      <w:r w:rsidRPr="00DD6B82">
        <w:rPr>
          <w:b w:val="0"/>
          <w:bCs w:val="0"/>
          <w:i w:val="0"/>
          <w:iCs/>
        </w:rPr>
        <w:t xml:space="preserve">NO as it impacts on all Wards </w:t>
      </w:r>
    </w:p>
    <w:p w14:paraId="64BBC7EF" w14:textId="383513E3" w:rsidR="00166B73" w:rsidRPr="00E37F2D" w:rsidRDefault="00166B73" w:rsidP="00166B73">
      <w:pPr>
        <w:pStyle w:val="Heading3"/>
        <w:spacing w:before="240"/>
        <w:rPr>
          <w:b w:val="0"/>
          <w:i w:val="0"/>
          <w:iCs/>
        </w:rPr>
      </w:pPr>
      <w:proofErr w:type="spellStart"/>
      <w:r w:rsidRPr="00E37F2D">
        <w:rPr>
          <w:i w:val="0"/>
          <w:iCs/>
        </w:rPr>
        <w:t>EqIA</w:t>
      </w:r>
      <w:proofErr w:type="spellEnd"/>
      <w:r w:rsidRPr="00E37F2D">
        <w:rPr>
          <w:i w:val="0"/>
          <w:iCs/>
        </w:rPr>
        <w:t xml:space="preserve"> carried out:  NO</w:t>
      </w:r>
    </w:p>
    <w:p w14:paraId="6B92AC5A" w14:textId="77777777" w:rsidR="00166B73" w:rsidRPr="00E37F2D" w:rsidRDefault="00166B73" w:rsidP="00166B73">
      <w:pPr>
        <w:pStyle w:val="Infotext"/>
        <w:rPr>
          <w:iCs/>
        </w:rPr>
      </w:pPr>
    </w:p>
    <w:p w14:paraId="3948B068" w14:textId="77777777" w:rsidR="00166B73" w:rsidRPr="008A1A78" w:rsidRDefault="00166B73" w:rsidP="00333FAA"/>
    <w:p w14:paraId="0608363E" w14:textId="77777777" w:rsidR="00333FAA" w:rsidRPr="008A1A78" w:rsidRDefault="00333FAA" w:rsidP="00333FAA">
      <w:pPr>
        <w:pStyle w:val="Heading1"/>
        <w:keepNext/>
      </w:pPr>
      <w:r w:rsidRPr="008A1A78">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02BC8A13" w14:textId="46BBCD7B" w:rsidR="00CA2FF3" w:rsidRPr="00DD6B82" w:rsidRDefault="00333FAA" w:rsidP="00CA2FF3">
      <w:pPr>
        <w:pStyle w:val="Infotext"/>
        <w:rPr>
          <w:bCs/>
          <w:sz w:val="24"/>
          <w:szCs w:val="18"/>
        </w:rPr>
      </w:pPr>
      <w:r w:rsidRPr="008A1A78">
        <w:rPr>
          <w:b/>
        </w:rPr>
        <w:t xml:space="preserve">Contact:  </w:t>
      </w:r>
      <w:r w:rsidR="00CA2FF3" w:rsidRPr="00DD6B82">
        <w:rPr>
          <w:bCs/>
          <w:sz w:val="24"/>
          <w:szCs w:val="18"/>
        </w:rPr>
        <w:t xml:space="preserve">Sharon </w:t>
      </w:r>
      <w:r w:rsidR="005C7899" w:rsidRPr="00DD6B82">
        <w:rPr>
          <w:bCs/>
          <w:sz w:val="24"/>
          <w:szCs w:val="18"/>
        </w:rPr>
        <w:t>Daniels, Head</w:t>
      </w:r>
      <w:r w:rsidR="00CA2FF3" w:rsidRPr="00DD6B82">
        <w:rPr>
          <w:bCs/>
          <w:sz w:val="24"/>
          <w:szCs w:val="18"/>
        </w:rPr>
        <w:t xml:space="preserve"> of Strategic and Technical Finance (Deputy S151), Telephone 020 8424 1332, </w:t>
      </w:r>
      <w:hyperlink r:id="rId23" w:history="1">
        <w:r w:rsidR="00DD6B82" w:rsidRPr="00643450">
          <w:rPr>
            <w:rStyle w:val="Hyperlink"/>
            <w:bCs/>
            <w:sz w:val="24"/>
            <w:szCs w:val="18"/>
          </w:rPr>
          <w:t>Sharon.Daniels@harrow.gov.uk</w:t>
        </w:r>
      </w:hyperlink>
      <w:r w:rsidR="00DD6B82">
        <w:rPr>
          <w:bCs/>
          <w:sz w:val="24"/>
          <w:szCs w:val="18"/>
        </w:rPr>
        <w:t xml:space="preserve">   </w:t>
      </w:r>
    </w:p>
    <w:p w14:paraId="1609BB6B" w14:textId="77777777" w:rsidR="00333FAA" w:rsidRPr="008A1A78" w:rsidRDefault="00333FAA" w:rsidP="00333FAA"/>
    <w:p w14:paraId="284AF6FD" w14:textId="5B76593F" w:rsidR="00DF33F5" w:rsidRDefault="00333FAA" w:rsidP="00551A97">
      <w:pPr>
        <w:pStyle w:val="Infotext"/>
        <w:rPr>
          <w:bCs/>
        </w:rPr>
      </w:pPr>
      <w:r w:rsidRPr="008A1A78">
        <w:rPr>
          <w:b/>
        </w:rPr>
        <w:t xml:space="preserve">Background Papers: </w:t>
      </w:r>
      <w:r w:rsidR="005808FB" w:rsidRPr="008A1A78">
        <w:rPr>
          <w:b/>
        </w:rPr>
        <w:t xml:space="preserve"> </w:t>
      </w:r>
      <w:r w:rsidR="00DD6B82" w:rsidRPr="00DD6B82">
        <w:rPr>
          <w:bCs/>
        </w:rPr>
        <w:t>None</w:t>
      </w:r>
    </w:p>
    <w:p w14:paraId="1598C29B" w14:textId="6F45024F" w:rsidR="00DD6B82" w:rsidRPr="007C0DC3" w:rsidRDefault="00DD6B82" w:rsidP="00DD6B82">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15394DA4" w14:textId="6D133127" w:rsidR="00DF33F5" w:rsidRPr="008A1A78" w:rsidRDefault="00DF33F5" w:rsidP="00DD6B82">
      <w:pPr>
        <w:pStyle w:val="Infotext"/>
        <w:rPr>
          <w:b/>
        </w:rPr>
      </w:pPr>
    </w:p>
    <w:p w14:paraId="3CF24015" w14:textId="77777777" w:rsidR="00DF33F5" w:rsidRPr="008A1A78" w:rsidRDefault="00DF33F5" w:rsidP="00DF33F5">
      <w:pPr>
        <w:pStyle w:val="Infotext"/>
        <w:ind w:left="720"/>
        <w:rPr>
          <w:b/>
        </w:rPr>
      </w:pPr>
    </w:p>
    <w:p w14:paraId="5EB013A9" w14:textId="77777777" w:rsidR="00507F19" w:rsidRDefault="00507F19" w:rsidP="00D87B72">
      <w:pPr>
        <w:spacing w:after="240"/>
        <w:contextualSpacing/>
        <w:jc w:val="both"/>
        <w:outlineLvl w:val="1"/>
        <w:rPr>
          <w:rFonts w:cs="Arial"/>
          <w:color w:val="0D0D0D" w:themeColor="text1" w:themeTint="F2"/>
          <w:sz w:val="36"/>
          <w:szCs w:val="36"/>
        </w:rPr>
      </w:pPr>
      <w:bookmarkStart w:id="3" w:name="_Toc260128495"/>
      <w:bookmarkStart w:id="4" w:name="_Toc260143053"/>
      <w:bookmarkStart w:id="5" w:name="_Toc260144074"/>
      <w:bookmarkStart w:id="6" w:name="_Toc324258849"/>
    </w:p>
    <w:p w14:paraId="7B56B2A0" w14:textId="77777777" w:rsidR="00A94722" w:rsidRDefault="00A94722">
      <w:pPr>
        <w:rPr>
          <w:rFonts w:cs="Arial"/>
          <w:color w:val="0D0D0D" w:themeColor="text1" w:themeTint="F2"/>
          <w:sz w:val="36"/>
          <w:szCs w:val="36"/>
        </w:rPr>
      </w:pPr>
      <w:r>
        <w:rPr>
          <w:rFonts w:cs="Arial"/>
          <w:color w:val="0D0D0D" w:themeColor="text1" w:themeTint="F2"/>
          <w:sz w:val="36"/>
          <w:szCs w:val="36"/>
        </w:rPr>
        <w:br w:type="page"/>
      </w:r>
    </w:p>
    <w:p w14:paraId="47E293A6" w14:textId="0C2345D8" w:rsidR="00D87B72" w:rsidRPr="001E1D7B" w:rsidRDefault="001F3457" w:rsidP="00B96C22">
      <w:pPr>
        <w:spacing w:after="240"/>
        <w:contextualSpacing/>
        <w:jc w:val="both"/>
        <w:outlineLvl w:val="1"/>
        <w:rPr>
          <w:rFonts w:eastAsia="Bliss 2 Regular" w:cs="Arial"/>
          <w:b/>
          <w:bCs/>
          <w:color w:val="0D0D0D"/>
          <w:szCs w:val="24"/>
        </w:rPr>
      </w:pPr>
      <w:r w:rsidRPr="001E1D7B">
        <w:rPr>
          <w:rFonts w:cs="Arial"/>
          <w:color w:val="0D0D0D" w:themeColor="text1" w:themeTint="F2"/>
          <w:sz w:val="36"/>
          <w:szCs w:val="36"/>
        </w:rPr>
        <w:lastRenderedPageBreak/>
        <w:t xml:space="preserve">Appendix </w:t>
      </w:r>
      <w:r w:rsidR="00D87B72" w:rsidRPr="001E1D7B">
        <w:rPr>
          <w:rFonts w:cs="Arial"/>
          <w:color w:val="0D0D0D" w:themeColor="text1" w:themeTint="F2"/>
          <w:sz w:val="36"/>
          <w:szCs w:val="36"/>
        </w:rPr>
        <w:t>1</w:t>
      </w:r>
      <w:r w:rsidRPr="001E1D7B">
        <w:rPr>
          <w:rFonts w:cs="Arial"/>
          <w:color w:val="0D0D0D" w:themeColor="text1" w:themeTint="F2"/>
          <w:sz w:val="36"/>
          <w:szCs w:val="36"/>
        </w:rPr>
        <w:t>:</w:t>
      </w:r>
      <w:bookmarkStart w:id="7" w:name="_Toc37170918"/>
      <w:r w:rsidR="00D87B72" w:rsidRPr="001E1D7B">
        <w:rPr>
          <w:rFonts w:cs="Arial"/>
          <w:color w:val="0D0D0D" w:themeColor="text1" w:themeTint="F2"/>
          <w:sz w:val="36"/>
          <w:szCs w:val="36"/>
        </w:rPr>
        <w:t xml:space="preserve"> Link Group Economic Commentary</w:t>
      </w:r>
      <w:r w:rsidR="00622453" w:rsidRPr="00B96C22">
        <w:rPr>
          <w:rFonts w:cs="Arial"/>
          <w:color w:val="0D0D0D" w:themeColor="text1" w:themeTint="F2"/>
          <w:sz w:val="36"/>
          <w:szCs w:val="36"/>
        </w:rPr>
        <w:t xml:space="preserve">  </w:t>
      </w:r>
      <w:bookmarkEnd w:id="7"/>
    </w:p>
    <w:bookmarkEnd w:id="3"/>
    <w:bookmarkEnd w:id="4"/>
    <w:bookmarkEnd w:id="5"/>
    <w:bookmarkEnd w:id="6"/>
    <w:p w14:paraId="03427708" w14:textId="77777777" w:rsidR="001F3457" w:rsidRPr="00B96C22" w:rsidRDefault="001F3457" w:rsidP="001F3457">
      <w:pPr>
        <w:spacing w:after="240"/>
        <w:rPr>
          <w:rFonts w:ascii="Calibri" w:hAnsi="Calibri" w:cs="Arial"/>
          <w:iCs/>
          <w:color w:val="0D0D0D" w:themeColor="text1" w:themeTint="F2"/>
          <w:sz w:val="22"/>
          <w:szCs w:val="22"/>
          <w:highlight w:val="yellow"/>
        </w:rPr>
      </w:pPr>
    </w:p>
    <w:p w14:paraId="1CB9C48B" w14:textId="49B7CB8C" w:rsidR="004E3839" w:rsidRPr="004E3839" w:rsidRDefault="004E3839" w:rsidP="004E3839">
      <w:pPr>
        <w:tabs>
          <w:tab w:val="num" w:pos="1701"/>
        </w:tabs>
        <w:autoSpaceDE w:val="0"/>
        <w:autoSpaceDN w:val="0"/>
        <w:adjustRightInd w:val="0"/>
        <w:spacing w:after="200"/>
        <w:jc w:val="both"/>
        <w:rPr>
          <w:rFonts w:ascii="Calibri" w:eastAsia="Bliss 2 Regular" w:hAnsi="Calibri" w:cs="Arial"/>
          <w:color w:val="0D0D0D"/>
          <w:sz w:val="22"/>
          <w:szCs w:val="22"/>
          <w:lang w:val="en-AU"/>
        </w:rPr>
      </w:pPr>
      <w:r w:rsidRPr="004E3839">
        <w:rPr>
          <w:rFonts w:ascii="Calibri" w:eastAsia="Bliss 2 Regular" w:hAnsi="Calibri" w:cs="Arial"/>
          <w:b/>
          <w:bCs/>
          <w:color w:val="0D0D0D"/>
          <w:sz w:val="22"/>
          <w:szCs w:val="22"/>
        </w:rPr>
        <w:t>UK.</w:t>
      </w:r>
      <w:r w:rsidRPr="004E3839">
        <w:rPr>
          <w:rFonts w:ascii="Calibri" w:eastAsia="Bliss 2 Regular" w:hAnsi="Calibri" w:cs="Arial"/>
          <w:color w:val="0D0D0D"/>
          <w:sz w:val="22"/>
          <w:szCs w:val="22"/>
        </w:rPr>
        <w:t xml:space="preserve">  </w:t>
      </w:r>
      <w:r w:rsidRPr="004E3839">
        <w:rPr>
          <w:rFonts w:ascii="Calibri" w:eastAsia="Bliss 2 Regular" w:hAnsi="Calibri" w:cs="Arial"/>
          <w:b/>
          <w:bCs/>
          <w:color w:val="0D0D0D"/>
          <w:sz w:val="22"/>
          <w:szCs w:val="22"/>
        </w:rPr>
        <w:t>Economy.</w:t>
      </w:r>
      <w:r w:rsidRPr="004E3839">
        <w:rPr>
          <w:rFonts w:ascii="Calibri" w:eastAsia="Bliss 2 Regular" w:hAnsi="Calibri" w:cs="Arial"/>
          <w:color w:val="0D0D0D"/>
          <w:sz w:val="22"/>
          <w:szCs w:val="22"/>
        </w:rPr>
        <w:t xml:space="preserve"> </w:t>
      </w:r>
      <w:r w:rsidRPr="004E3839">
        <w:rPr>
          <w:rFonts w:ascii="Calibri" w:eastAsia="Bliss 2 Regular" w:hAnsi="Calibri" w:cs="Arial"/>
          <w:color w:val="0D0D0D"/>
          <w:sz w:val="22"/>
          <w:szCs w:val="22"/>
          <w:lang w:val="en-AU"/>
        </w:rPr>
        <w:t>Over the last two years, the coronavirus outbreak has done huge economic damage to the UK and to economies around the world. After the Bank of England took emergency action in March 2020 to cut Bank Rate to 0.10%, it left Bank Rate unchanged at its subsequent meetings until raising it to 0.25% at its meeting on 16</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December </w:t>
      </w:r>
      <w:proofErr w:type="gramStart"/>
      <w:r w:rsidRPr="004E3839">
        <w:rPr>
          <w:rFonts w:ascii="Calibri" w:eastAsia="Bliss 2 Regular" w:hAnsi="Calibri" w:cs="Arial"/>
          <w:color w:val="0D0D0D"/>
          <w:sz w:val="22"/>
          <w:szCs w:val="22"/>
          <w:lang w:val="en-AU"/>
        </w:rPr>
        <w:t>2021,  0.50</w:t>
      </w:r>
      <w:proofErr w:type="gramEnd"/>
      <w:r w:rsidRPr="004E3839">
        <w:rPr>
          <w:rFonts w:ascii="Calibri" w:eastAsia="Bliss 2 Regular" w:hAnsi="Calibri" w:cs="Arial"/>
          <w:color w:val="0D0D0D"/>
          <w:sz w:val="22"/>
          <w:szCs w:val="22"/>
          <w:lang w:val="en-AU"/>
        </w:rPr>
        <w:t>% at its meeting of 4</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February 2022 and then to 0.75% in March 2022. </w:t>
      </w:r>
      <w:r w:rsidR="00EB1B49">
        <w:rPr>
          <w:rFonts w:ascii="Calibri" w:eastAsia="Bliss 2 Regular" w:hAnsi="Calibri" w:cs="Arial"/>
          <w:color w:val="0D0D0D"/>
          <w:sz w:val="22"/>
          <w:szCs w:val="22"/>
          <w:lang w:val="en-AU"/>
        </w:rPr>
        <w:t xml:space="preserve">In </w:t>
      </w:r>
      <w:r w:rsidR="00850932">
        <w:rPr>
          <w:rFonts w:ascii="Calibri" w:eastAsia="Bliss 2 Regular" w:hAnsi="Calibri" w:cs="Arial"/>
          <w:color w:val="0D0D0D"/>
          <w:sz w:val="22"/>
          <w:szCs w:val="22"/>
          <w:lang w:val="en-AU"/>
        </w:rPr>
        <w:t>June</w:t>
      </w:r>
      <w:r w:rsidR="00EB1B49">
        <w:rPr>
          <w:rFonts w:ascii="Calibri" w:eastAsia="Bliss 2 Regular" w:hAnsi="Calibri" w:cs="Arial"/>
          <w:color w:val="0D0D0D"/>
          <w:sz w:val="22"/>
          <w:szCs w:val="22"/>
          <w:lang w:val="en-AU"/>
        </w:rPr>
        <w:t xml:space="preserve"> 2022</w:t>
      </w:r>
      <w:r w:rsidR="007371F1">
        <w:rPr>
          <w:rFonts w:ascii="Calibri" w:eastAsia="Bliss 2 Regular" w:hAnsi="Calibri" w:cs="Arial"/>
          <w:color w:val="0D0D0D"/>
          <w:sz w:val="22"/>
          <w:szCs w:val="22"/>
          <w:lang w:val="en-AU"/>
        </w:rPr>
        <w:t xml:space="preserve"> the rate increased to 1</w:t>
      </w:r>
      <w:r w:rsidR="00850932">
        <w:rPr>
          <w:rFonts w:ascii="Calibri" w:eastAsia="Bliss 2 Regular" w:hAnsi="Calibri" w:cs="Arial"/>
          <w:color w:val="0D0D0D"/>
          <w:sz w:val="22"/>
          <w:szCs w:val="22"/>
          <w:lang w:val="en-AU"/>
        </w:rPr>
        <w:t>.25</w:t>
      </w:r>
      <w:r w:rsidR="000868FB">
        <w:rPr>
          <w:rFonts w:ascii="Calibri" w:eastAsia="Bliss 2 Regular" w:hAnsi="Calibri" w:cs="Arial"/>
          <w:color w:val="0D0D0D"/>
          <w:sz w:val="22"/>
          <w:szCs w:val="22"/>
          <w:lang w:val="en-AU"/>
        </w:rPr>
        <w:t>%</w:t>
      </w:r>
    </w:p>
    <w:p w14:paraId="1DB5BE26"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 xml:space="preserve">The UK economy has endured several false dawns through 2021/22, but with most of the economy now </w:t>
      </w:r>
      <w:proofErr w:type="gramStart"/>
      <w:r w:rsidRPr="004E3839">
        <w:rPr>
          <w:rFonts w:ascii="Calibri" w:hAnsi="Calibri" w:cs="Arial"/>
          <w:bCs/>
          <w:color w:val="000000"/>
          <w:spacing w:val="-5"/>
          <w:sz w:val="22"/>
          <w:szCs w:val="22"/>
        </w:rPr>
        <w:t>opened up</w:t>
      </w:r>
      <w:proofErr w:type="gramEnd"/>
      <w:r w:rsidRPr="004E3839">
        <w:rPr>
          <w:rFonts w:ascii="Calibri" w:hAnsi="Calibri" w:cs="Arial"/>
          <w:bCs/>
          <w:color w:val="000000"/>
          <w:spacing w:val="-5"/>
          <w:sz w:val="22"/>
          <w:szCs w:val="22"/>
        </w:rPr>
        <w:t xml:space="preserve"> and nearly back to business-as-usual, the GDP numbers have been robust (9% y/y Q1 2022) and sufficient for the MPC to focus on tackling the second-round effects of inflation, now that the CPI measure has already risen to 6.2% and is likely to exceed 8% in April.</w:t>
      </w:r>
    </w:p>
    <w:p w14:paraId="604C6D60"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Gilt yields fell towards the back end of 2021, but despite the war in Ukraine gilt yields have shot higher in early 2022.  At 1.38%, 2-year yields remain close to their recent 11-year high and 10-year yields of 1.65% are close to their recent six-year high. These rises have been part of a global trend as central banks have suggested they will continue to raise interest rates to contain inflation.</w:t>
      </w:r>
    </w:p>
    <w:p w14:paraId="6F0CF734" w14:textId="77777777" w:rsidR="004E3839" w:rsidRPr="004E3839" w:rsidRDefault="004E3839" w:rsidP="004E3839">
      <w:pPr>
        <w:tabs>
          <w:tab w:val="num" w:pos="1701"/>
        </w:tabs>
        <w:autoSpaceDE w:val="0"/>
        <w:autoSpaceDN w:val="0"/>
        <w:adjustRightInd w:val="0"/>
        <w:spacing w:after="200"/>
        <w:jc w:val="both"/>
        <w:rPr>
          <w:rFonts w:ascii="Calibri" w:hAnsi="Calibri" w:cs="Arial"/>
          <w:color w:val="000000"/>
          <w:spacing w:val="-5"/>
          <w:sz w:val="22"/>
          <w:szCs w:val="22"/>
        </w:rPr>
      </w:pPr>
      <w:r w:rsidRPr="004E3839">
        <w:rPr>
          <w:rFonts w:ascii="Calibri" w:hAnsi="Calibri" w:cs="Arial"/>
          <w:bCs/>
          <w:color w:val="000000"/>
          <w:spacing w:val="-5"/>
          <w:sz w:val="22"/>
          <w:szCs w:val="22"/>
        </w:rPr>
        <w:t xml:space="preserve">Historically, a further rise in US Treasury yields will probably drag UK gilt yields higher.  There is a strong correlation between the two factors.   However, the squeeze on real household disposable incomes arising from the 54% leap in April utilities prices as well as rises in council tax, water prices and many </w:t>
      </w:r>
      <w:proofErr w:type="gramStart"/>
      <w:r w:rsidRPr="004E3839">
        <w:rPr>
          <w:rFonts w:ascii="Calibri" w:hAnsi="Calibri" w:cs="Arial"/>
          <w:bCs/>
          <w:color w:val="000000"/>
          <w:spacing w:val="-5"/>
          <w:sz w:val="22"/>
          <w:szCs w:val="22"/>
        </w:rPr>
        <w:t>phone</w:t>
      </w:r>
      <w:proofErr w:type="gramEnd"/>
      <w:r w:rsidRPr="004E3839">
        <w:rPr>
          <w:rFonts w:ascii="Calibri" w:hAnsi="Calibri" w:cs="Arial"/>
          <w:bCs/>
          <w:color w:val="000000"/>
          <w:spacing w:val="-5"/>
          <w:sz w:val="22"/>
          <w:szCs w:val="22"/>
        </w:rPr>
        <w:t xml:space="preserve"> contract prices, are strong headwinds for any economy to deal with.  In addition, from 1</w:t>
      </w:r>
      <w:r w:rsidRPr="004E3839">
        <w:rPr>
          <w:rFonts w:ascii="Calibri" w:hAnsi="Calibri" w:cs="Arial"/>
          <w:bCs/>
          <w:color w:val="000000"/>
          <w:spacing w:val="-5"/>
          <w:sz w:val="22"/>
          <w:szCs w:val="22"/>
          <w:vertAlign w:val="superscript"/>
        </w:rPr>
        <w:t>st</w:t>
      </w:r>
      <w:r w:rsidRPr="004E3839">
        <w:rPr>
          <w:rFonts w:ascii="Calibri" w:hAnsi="Calibri" w:cs="Arial"/>
          <w:bCs/>
          <w:color w:val="000000"/>
          <w:spacing w:val="-5"/>
          <w:sz w:val="22"/>
          <w:szCs w:val="22"/>
        </w:rPr>
        <w:t xml:space="preserve"> April 2022, employees also pay 1.25% more in National Insurance tax.  </w:t>
      </w:r>
      <w:r w:rsidRPr="004E3839">
        <w:rPr>
          <w:rFonts w:ascii="Calibri" w:hAnsi="Calibri" w:cs="Arial"/>
          <w:color w:val="000000"/>
          <w:spacing w:val="-5"/>
          <w:sz w:val="22"/>
          <w:szCs w:val="22"/>
        </w:rPr>
        <w:t xml:space="preserve">Consequently, inflation will be a bigger drag on real incomes in 2022 than in any year since records began in 1955. </w:t>
      </w:r>
    </w:p>
    <w:p w14:paraId="5F748558" w14:textId="77777777" w:rsidR="004E3839" w:rsidRPr="004E3839" w:rsidRDefault="004E3839" w:rsidP="004E3839">
      <w:pPr>
        <w:spacing w:after="200"/>
        <w:jc w:val="both"/>
        <w:rPr>
          <w:rFonts w:ascii="Calibri" w:hAnsi="Calibri" w:cs="Arial"/>
          <w:bCs/>
          <w:color w:val="000000"/>
          <w:spacing w:val="-5"/>
          <w:sz w:val="22"/>
          <w:szCs w:val="22"/>
        </w:rPr>
      </w:pPr>
      <w:r w:rsidRPr="004E3839">
        <w:rPr>
          <w:rFonts w:ascii="Calibri" w:hAnsi="Calibri" w:cs="Arial"/>
          <w:b/>
          <w:bCs/>
          <w:color w:val="000000"/>
          <w:spacing w:val="-5"/>
          <w:sz w:val="22"/>
          <w:szCs w:val="22"/>
        </w:rPr>
        <w:t>Average inflation targeting.</w:t>
      </w:r>
      <w:r w:rsidRPr="004E3839">
        <w:rPr>
          <w:rFonts w:ascii="Calibri" w:hAnsi="Calibri" w:cs="Arial"/>
          <w:bCs/>
          <w:color w:val="000000"/>
          <w:spacing w:val="-5"/>
          <w:sz w:val="22"/>
          <w:szCs w:val="22"/>
        </w:rPr>
        <w:t xml:space="preserve"> This was the major change in 2020/21 adopted by the Bank of England in terms of implementing its inflation target of 2%.   The key addition to the Bank’s forward guidance in August 2020 was a new phrase in the policy statement, namely that “it does not intend to tighten monetary policy until there is clear evidence that significant progress is being made in eliminating spare capacity and </w:t>
      </w:r>
      <w:r w:rsidRPr="004E3839">
        <w:rPr>
          <w:rFonts w:ascii="Calibri" w:hAnsi="Calibri" w:cs="Arial"/>
          <w:i/>
          <w:color w:val="000000"/>
          <w:spacing w:val="-5"/>
          <w:sz w:val="22"/>
          <w:szCs w:val="22"/>
        </w:rPr>
        <w:t>achieving the 2% target sustainably</w:t>
      </w:r>
      <w:r w:rsidRPr="004E3839">
        <w:rPr>
          <w:rFonts w:ascii="Calibri" w:hAnsi="Calibri" w:cs="Arial"/>
          <w:color w:val="000000"/>
          <w:spacing w:val="-5"/>
          <w:sz w:val="22"/>
          <w:szCs w:val="22"/>
        </w:rPr>
        <w:t>”.</w:t>
      </w:r>
      <w:r w:rsidRPr="004E3839">
        <w:rPr>
          <w:rFonts w:ascii="Calibri" w:hAnsi="Calibri" w:cs="Arial"/>
          <w:bCs/>
          <w:color w:val="000000"/>
          <w:spacing w:val="-5"/>
          <w:sz w:val="22"/>
          <w:szCs w:val="22"/>
        </w:rPr>
        <w:t xml:space="preserve">  That mantra now seems very dated.  Inflation is the “genie” that has escaped the bottle, and a perfect storm of supply side shortages, labour shortages, commodity price inflation, the impact of Russia’s invasion of Ukraine and subsequent Western sanctions all point to inflation being at elevated levels until well into 2023.</w:t>
      </w:r>
    </w:p>
    <w:p w14:paraId="142C59C3"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
          <w:color w:val="0D0D0D"/>
          <w:sz w:val="22"/>
          <w:szCs w:val="22"/>
        </w:rPr>
        <w:t>USA.</w:t>
      </w:r>
      <w:r w:rsidRPr="004E3839">
        <w:rPr>
          <w:rFonts w:ascii="Calibri" w:eastAsia="Bliss 2 Regular" w:hAnsi="Calibri" w:cs="Arial"/>
          <w:color w:val="0D0D0D"/>
          <w:sz w:val="22"/>
          <w:szCs w:val="22"/>
        </w:rPr>
        <w:t xml:space="preserve"> The flurry of comments from Fed officials following the mid-March FOMC meeting – including from Chair Jerome Powell himself – hammering home the hawkish message from the mid-March meeting, has had markets pricing in a further 225bps of interest rate increases in 2022 on top of the initial move to an interest rate range of 0.25% - 0.5%.</w:t>
      </w:r>
    </w:p>
    <w:p w14:paraId="047C4AB0"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Cs/>
          <w:color w:val="0D0D0D"/>
          <w:sz w:val="22"/>
          <w:szCs w:val="22"/>
        </w:rPr>
        <w:t>In addition, the Fed is expected to start to run down its balance sheet.  Powel</w:t>
      </w:r>
      <w:r w:rsidRPr="004E3839">
        <w:rPr>
          <w:rFonts w:ascii="Calibri" w:eastAsia="Bliss 2 Regular" w:hAnsi="Calibri" w:cs="Arial"/>
          <w:color w:val="0D0D0D"/>
          <w:sz w:val="22"/>
          <w:szCs w:val="22"/>
        </w:rPr>
        <w:t>l noted that the rundown could come as soon as the next meeting in May.</w:t>
      </w:r>
    </w:p>
    <w:p w14:paraId="2F49E1EF"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color w:val="0D0D0D"/>
          <w:sz w:val="22"/>
          <w:szCs w:val="22"/>
        </w:rPr>
        <w:t>The upward pressure on inflation from higher oil prices and potential knock-on impacts on supply chains all argue for tighter policy (CPI is estimated at 7.8% across Q1), but the hit to real disposable incomes and the additional uncertainty points in the opposite direction.</w:t>
      </w:r>
    </w:p>
    <w:p w14:paraId="406D56CE"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Cs/>
          <w:color w:val="0D0D0D"/>
          <w:sz w:val="22"/>
          <w:szCs w:val="22"/>
        </w:rPr>
        <w:t>More recently, the inversion of the 10y-2y Treasury yield spread at the end of March led to predictable speculation that the Fed’s interest rate hikes would quickly push the US economy into recession. Q1 GDP growth is likely to be only between 1.0% and 1.5% annualised (down from 7% in Q4 2021). But, on a positive note, the economy created more than 550,000 jobs per month in Q1, a number unchanged from the post-pandemic 2021 average.   Unemployment is only 3.8%.</w:t>
      </w:r>
    </w:p>
    <w:p w14:paraId="3DA7F387"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EU.</w:t>
      </w:r>
      <w:r w:rsidRPr="004E3839">
        <w:rPr>
          <w:rFonts w:ascii="Calibri" w:eastAsia="Bliss 2 Regular" w:hAnsi="Calibri" w:cs="Arial"/>
          <w:bCs/>
          <w:color w:val="0D0D0D"/>
          <w:sz w:val="22"/>
          <w:szCs w:val="22"/>
          <w:lang w:val="en-AU"/>
        </w:rPr>
        <w:t xml:space="preserve"> </w:t>
      </w:r>
      <w:r w:rsidRPr="004E3839">
        <w:rPr>
          <w:rFonts w:ascii="Calibri" w:eastAsia="Bliss 2 Regular" w:hAnsi="Calibri" w:cs="Arial"/>
          <w:bCs/>
          <w:color w:val="0D0D0D"/>
          <w:sz w:val="22"/>
          <w:szCs w:val="22"/>
        </w:rPr>
        <w:t xml:space="preserve">With euro-zone inflation having jumped to 7.5% in March it seems increasingly likely that the ECB will accelerate its plans to tighten monetary policy. It is likely to end net asset purchases in June – i.e., </w:t>
      </w:r>
      <w:r w:rsidRPr="004E3839">
        <w:rPr>
          <w:rFonts w:ascii="Calibri" w:eastAsia="Bliss 2 Regular" w:hAnsi="Calibri" w:cs="Arial"/>
          <w:bCs/>
          <w:color w:val="0D0D0D"/>
          <w:sz w:val="22"/>
          <w:szCs w:val="22"/>
        </w:rPr>
        <w:lastRenderedPageBreak/>
        <w:t xml:space="preserve">earlier than the Q3 date which the ECB targeted in March. And the market is now anticipating possibly three 25bp rate hikes later this year followed by more in 2023.  Policymakers have also hinted strongly that they would re-start asset purchases if required. In a recent speech, Christine Lagarde said “we can design and deploy new instruments to secure monetary policy transmission as we move along the path of policy normalisation.” </w:t>
      </w:r>
    </w:p>
    <w:p w14:paraId="6F3661F3"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lang w:val="en-AU"/>
        </w:rPr>
      </w:pPr>
      <w:r w:rsidRPr="004E3839">
        <w:rPr>
          <w:rFonts w:ascii="Calibri" w:eastAsia="Bliss 2 Regular" w:hAnsi="Calibri" w:cs="Arial"/>
          <w:bCs/>
          <w:color w:val="0D0D0D"/>
          <w:sz w:val="22"/>
          <w:szCs w:val="22"/>
        </w:rPr>
        <w:t>While inflation has hit the headlines recently, the risk of recession has also been rising. Among the bigger countries, Germany is most likely to experience a “technical” recession because its GDP contracted in Q4 2021, and its performance has been subdued in Q1 2022. However, overall, Q1 2022 growth for the Eurozone is expected to be 0.3% q/q with the y/y figure posting a healthy 5.2% gain.  Finishing on a bright note, unemployment fell to only 6.8% in February.</w:t>
      </w:r>
    </w:p>
    <w:p w14:paraId="1458944D"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China.</w:t>
      </w:r>
      <w:r w:rsidRPr="004E3839">
        <w:rPr>
          <w:rFonts w:ascii="Calibri" w:eastAsia="Bliss 2 Regular" w:hAnsi="Calibri" w:cs="Arial"/>
          <w:bCs/>
          <w:color w:val="0D0D0D"/>
          <w:sz w:val="22"/>
          <w:szCs w:val="22"/>
          <w:lang w:val="en-AU"/>
        </w:rPr>
        <w:t xml:space="preserve">  After a concerted effort to get on top of the virus outbreak in Q1 of 2020, economic recovery was strong in the rest of the year; however, 2021 has seen the economy negatively impacted by political policies that have focussed on constraining digital services, restricting individual freedoms, and re-establishing the power of the One-Party state.  With the recent outbreak of Covid-19 in large cities, such as Shanghai, near-term economic performance is likely to be subdued.</w:t>
      </w:r>
      <w:r w:rsidRPr="004E3839">
        <w:rPr>
          <w:rFonts w:ascii="Calibri" w:eastAsia="Bliss 2 Regular" w:hAnsi="Calibri" w:cs="Arial"/>
          <w:bCs/>
          <w:color w:val="0D0D0D"/>
          <w:sz w:val="22"/>
          <w:szCs w:val="22"/>
        </w:rPr>
        <w:t xml:space="preserve"> Official GDP numbers suggest growth of c4% y/y, but other data measures suggest this may be an overstatement.</w:t>
      </w:r>
    </w:p>
    <w:p w14:paraId="253E0C8A"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Japan.</w:t>
      </w:r>
      <w:r w:rsidRPr="004E3839">
        <w:rPr>
          <w:rFonts w:ascii="Calibri" w:eastAsia="Bliss 2 Regular" w:hAnsi="Calibri" w:cs="Arial"/>
          <w:bCs/>
          <w:color w:val="0D0D0D"/>
          <w:sz w:val="22"/>
          <w:szCs w:val="22"/>
          <w:lang w:val="en-AU"/>
        </w:rPr>
        <w:t xml:space="preserve"> The Japanese economic performance through 2021/22 is best described as tepid.  With a succession of local lockdowns throughout the course of the year, GDP is expected to have risen only 0.5% y/y with Q4 seeing a minor contraction.  The policy rate has remained at -0.1%, unemployment is currently only 2.7% and inflation is sub 1%, although cost pressures are mounting.</w:t>
      </w:r>
    </w:p>
    <w:p w14:paraId="5873D74F"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World growth.</w:t>
      </w:r>
      <w:r w:rsidRPr="004E3839">
        <w:rPr>
          <w:rFonts w:ascii="Calibri" w:eastAsia="Bliss 2 Regular" w:hAnsi="Calibri" w:cs="Arial"/>
          <w:bCs/>
          <w:color w:val="0D0D0D"/>
          <w:sz w:val="22"/>
          <w:szCs w:val="22"/>
          <w:lang w:val="en-AU"/>
        </w:rPr>
        <w:t xml:space="preserve"> World growth is estimated to have expanded 8.9% in 2021/22 following a contraction of 6.6% in 2020/21.</w:t>
      </w:r>
    </w:p>
    <w:p w14:paraId="6F17CEFB"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rPr>
      </w:pPr>
      <w:r w:rsidRPr="004E3839">
        <w:rPr>
          <w:rFonts w:ascii="Calibri" w:eastAsia="Bliss 2 Regular" w:hAnsi="Calibri" w:cs="Arial"/>
          <w:b/>
          <w:bCs/>
          <w:color w:val="0D0D0D"/>
          <w:sz w:val="22"/>
          <w:szCs w:val="22"/>
          <w:lang w:val="en-AU"/>
        </w:rPr>
        <w:t xml:space="preserve">Deglobalisation. </w:t>
      </w:r>
      <w:r w:rsidRPr="004E3839">
        <w:rPr>
          <w:rFonts w:ascii="Calibri" w:eastAsia="Bliss 2 Regular" w:hAnsi="Calibri" w:cs="Arial"/>
          <w:bCs/>
          <w:color w:val="0D0D0D"/>
          <w:sz w:val="22"/>
          <w:szCs w:val="22"/>
          <w:lang w:val="en-AU"/>
        </w:rPr>
        <w:t xml:space="preserve">Until recent years, world growth has been boosted by increasing globalisation </w:t>
      </w:r>
      <w:proofErr w:type="gramStart"/>
      <w:r w:rsidRPr="004E3839">
        <w:rPr>
          <w:rFonts w:ascii="Calibri" w:eastAsia="Bliss 2 Regular" w:hAnsi="Calibri" w:cs="Arial"/>
          <w:bCs/>
          <w:color w:val="0D0D0D"/>
          <w:sz w:val="22"/>
          <w:szCs w:val="22"/>
          <w:lang w:val="en-AU"/>
        </w:rPr>
        <w:t>i.e.</w:t>
      </w:r>
      <w:proofErr w:type="gramEnd"/>
      <w:r w:rsidRPr="004E3839">
        <w:rPr>
          <w:rFonts w:ascii="Calibri" w:eastAsia="Bliss 2 Regular" w:hAnsi="Calibri" w:cs="Arial"/>
          <w:bCs/>
          <w:color w:val="0D0D0D"/>
          <w:sz w:val="22"/>
          <w:szCs w:val="22"/>
          <w:lang w:val="en-AU"/>
        </w:rPr>
        <w:t xml:space="preserv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18% of total world GDP (the USA accounts for 24%), and Russia’s recent invasion of Ukraine, has unbalanced the world economy. In addition,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(and to a much lesser extent Russia) to supply products and vice versa. This is likely to reduce world growth rates.</w:t>
      </w:r>
    </w:p>
    <w:p w14:paraId="7F6C78DA" w14:textId="4EDE9939" w:rsid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Central banks’ monetary policy.</w:t>
      </w:r>
      <w:r w:rsidRPr="004E3839">
        <w:rPr>
          <w:rFonts w:ascii="Calibri" w:eastAsia="Bliss 2 Regular" w:hAnsi="Calibri" w:cs="Arial"/>
          <w:b/>
          <w:bCs/>
          <w:color w:val="0D0D0D"/>
          <w:sz w:val="22"/>
          <w:szCs w:val="22"/>
        </w:rPr>
        <w:t xml:space="preserve"> </w:t>
      </w:r>
      <w:r w:rsidRPr="004E3839">
        <w:rPr>
          <w:rFonts w:ascii="Calibri" w:eastAsia="Bliss 2 Regular" w:hAnsi="Calibri" w:cs="Arial"/>
          <w:bCs/>
          <w:color w:val="0D0D0D"/>
          <w:sz w:val="22"/>
          <w:szCs w:val="22"/>
        </w:rPr>
        <w:t xml:space="preserve">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w:t>
      </w:r>
      <w:proofErr w:type="gramStart"/>
      <w:r w:rsidRPr="004E3839">
        <w:rPr>
          <w:rFonts w:ascii="Calibri" w:eastAsia="Bliss 2 Regular" w:hAnsi="Calibri" w:cs="Arial"/>
          <w:bCs/>
          <w:color w:val="0D0D0D"/>
          <w:sz w:val="22"/>
          <w:szCs w:val="22"/>
        </w:rPr>
        <w:t>e.g.</w:t>
      </w:r>
      <w:proofErr w:type="gramEnd"/>
      <w:r w:rsidRPr="004E3839">
        <w:rPr>
          <w:rFonts w:ascii="Calibri" w:eastAsia="Bliss 2 Regular" w:hAnsi="Calibri" w:cs="Arial"/>
          <w:bCs/>
          <w:color w:val="0D0D0D"/>
          <w:sz w:val="22"/>
          <w:szCs w:val="22"/>
        </w:rPr>
        <w:t xml:space="preserve"> full employment before raising rates. Higher average rates of inflation would also help to erode the real value of government debt more quickly.</w:t>
      </w:r>
    </w:p>
    <w:p w14:paraId="4CA903A9" w14:textId="3FCE4AD3" w:rsidR="000850B3" w:rsidRDefault="000850B3"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81963A1" w14:textId="52FA6C2E"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C14FAEC" w14:textId="7BEB243F"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18D2E9F9" w14:textId="5436B6D6" w:rsidR="001E1D7B" w:rsidRPr="00B96C22" w:rsidRDefault="001E1D7B" w:rsidP="001E1D7B">
      <w:pPr>
        <w:rPr>
          <w:rFonts w:cs="Arial"/>
          <w:color w:val="0D0D0D" w:themeColor="text1" w:themeTint="F2"/>
          <w:sz w:val="36"/>
          <w:szCs w:val="36"/>
        </w:rPr>
      </w:pPr>
      <w:r w:rsidRPr="00B310D5">
        <w:rPr>
          <w:rFonts w:cs="Arial"/>
          <w:color w:val="0D0D0D" w:themeColor="text1" w:themeTint="F2"/>
          <w:sz w:val="36"/>
          <w:szCs w:val="36"/>
        </w:rPr>
        <w:lastRenderedPageBreak/>
        <w:t xml:space="preserve">Appendix </w:t>
      </w:r>
      <w:r>
        <w:rPr>
          <w:rFonts w:cs="Arial"/>
          <w:color w:val="0D0D0D" w:themeColor="text1" w:themeTint="F2"/>
          <w:sz w:val="36"/>
          <w:szCs w:val="36"/>
        </w:rPr>
        <w:t>2:</w:t>
      </w:r>
      <w:r w:rsidRPr="00B310D5">
        <w:rPr>
          <w:rFonts w:cs="Arial"/>
          <w:color w:val="0D0D0D" w:themeColor="text1" w:themeTint="F2"/>
          <w:sz w:val="36"/>
          <w:szCs w:val="36"/>
        </w:rPr>
        <w:t xml:space="preserve"> </w:t>
      </w:r>
      <w:r w:rsidRPr="00B96C22">
        <w:rPr>
          <w:rFonts w:cs="Arial"/>
          <w:color w:val="0D0D0D" w:themeColor="text1" w:themeTint="F2"/>
          <w:sz w:val="36"/>
          <w:szCs w:val="36"/>
        </w:rPr>
        <w:t xml:space="preserve">Borrowing </w:t>
      </w:r>
      <w:r w:rsidR="00D12DB7">
        <w:rPr>
          <w:rFonts w:cs="Arial"/>
          <w:color w:val="0D0D0D" w:themeColor="text1" w:themeTint="F2"/>
          <w:sz w:val="36"/>
          <w:szCs w:val="36"/>
        </w:rPr>
        <w:t xml:space="preserve">Rate </w:t>
      </w:r>
      <w:r w:rsidRPr="00B96C22">
        <w:rPr>
          <w:rFonts w:cs="Arial"/>
          <w:color w:val="0D0D0D" w:themeColor="text1" w:themeTint="F2"/>
          <w:sz w:val="36"/>
          <w:szCs w:val="36"/>
        </w:rPr>
        <w:t>Summary 2021/22</w:t>
      </w:r>
    </w:p>
    <w:p w14:paraId="03076813" w14:textId="77777777" w:rsidR="001E1D7B" w:rsidRDefault="001E1D7B" w:rsidP="001E1D7B">
      <w:pPr>
        <w:jc w:val="both"/>
        <w:rPr>
          <w:rFonts w:cs="Arial"/>
          <w:b/>
          <w:bCs/>
          <w:iCs/>
          <w:color w:val="0D0D0D" w:themeColor="text1" w:themeTint="F2"/>
          <w:spacing w:val="-5"/>
          <w:sz w:val="20"/>
        </w:rPr>
      </w:pPr>
    </w:p>
    <w:p w14:paraId="2E41A900" w14:textId="77777777" w:rsidR="001E1D7B" w:rsidRDefault="001E1D7B" w:rsidP="001E1D7B">
      <w:pPr>
        <w:jc w:val="both"/>
        <w:rPr>
          <w:rFonts w:cs="Arial"/>
          <w:b/>
          <w:bCs/>
          <w:iCs/>
          <w:color w:val="0D0D0D" w:themeColor="text1" w:themeTint="F2"/>
          <w:spacing w:val="-5"/>
          <w:sz w:val="20"/>
        </w:rPr>
      </w:pPr>
    </w:p>
    <w:p w14:paraId="032CD166" w14:textId="30F4DE8B" w:rsidR="001E1D7B" w:rsidRPr="00E84785" w:rsidRDefault="001E1D7B" w:rsidP="001E1D7B">
      <w:pPr>
        <w:jc w:val="both"/>
        <w:rPr>
          <w:rFonts w:cs="Arial"/>
          <w:b/>
          <w:bCs/>
          <w:iCs/>
          <w:color w:val="0D0D0D" w:themeColor="text1" w:themeTint="F2"/>
          <w:spacing w:val="-5"/>
          <w:sz w:val="20"/>
        </w:rPr>
      </w:pPr>
      <w:r w:rsidRPr="001E1D7B">
        <w:rPr>
          <w:rFonts w:cs="Arial"/>
          <w:b/>
          <w:bCs/>
          <w:iCs/>
          <w:color w:val="0D0D0D" w:themeColor="text1" w:themeTint="F2"/>
          <w:spacing w:val="-5"/>
          <w:sz w:val="20"/>
        </w:rPr>
        <w:t>PWLB RATES 2021/22</w:t>
      </w:r>
    </w:p>
    <w:p w14:paraId="6969E45C"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5F8FEEC7" wp14:editId="2FC84161">
            <wp:extent cx="5361214" cy="31076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3220" cy="3114650"/>
                    </a:xfrm>
                    <a:prstGeom prst="rect">
                      <a:avLst/>
                    </a:prstGeom>
                    <a:noFill/>
                    <a:ln>
                      <a:noFill/>
                    </a:ln>
                  </pic:spPr>
                </pic:pic>
              </a:graphicData>
            </a:graphic>
          </wp:inline>
        </w:drawing>
      </w:r>
    </w:p>
    <w:p w14:paraId="1E6A8102" w14:textId="77777777" w:rsidR="001E1D7B" w:rsidRPr="001E1D7B" w:rsidRDefault="001E1D7B" w:rsidP="001E1D7B">
      <w:pPr>
        <w:jc w:val="both"/>
        <w:rPr>
          <w:rFonts w:cs="Arial"/>
          <w:b/>
          <w:color w:val="0D0D0D" w:themeColor="text1" w:themeTint="F2"/>
          <w:spacing w:val="-5"/>
          <w:sz w:val="20"/>
        </w:rPr>
      </w:pPr>
    </w:p>
    <w:p w14:paraId="76E3DD33"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3080EE19" wp14:editId="5D3AEFF9">
            <wp:extent cx="5535295"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9367" cy="2973986"/>
                    </a:xfrm>
                    <a:prstGeom prst="rect">
                      <a:avLst/>
                    </a:prstGeom>
                    <a:noFill/>
                    <a:ln>
                      <a:noFill/>
                    </a:ln>
                  </pic:spPr>
                </pic:pic>
              </a:graphicData>
            </a:graphic>
          </wp:inline>
        </w:drawing>
      </w:r>
    </w:p>
    <w:p w14:paraId="1EA9E591" w14:textId="1530AEEB" w:rsidR="001E1D7B" w:rsidRPr="00B96C22" w:rsidRDefault="001E1D7B" w:rsidP="001E1D7B">
      <w:pPr>
        <w:jc w:val="both"/>
        <w:rPr>
          <w:b/>
          <w:bCs/>
          <w:spacing w:val="-5"/>
          <w:sz w:val="20"/>
        </w:rPr>
      </w:pPr>
      <w:r w:rsidRPr="001E1D7B">
        <w:rPr>
          <w:b/>
          <w:bCs/>
          <w:spacing w:val="-5"/>
          <w:sz w:val="20"/>
        </w:rPr>
        <w:t>HIGH/LOW/A</w:t>
      </w:r>
      <w:r>
        <w:rPr>
          <w:b/>
          <w:bCs/>
          <w:spacing w:val="-5"/>
          <w:sz w:val="20"/>
        </w:rPr>
        <w:t>V</w:t>
      </w:r>
      <w:r w:rsidRPr="001E1D7B">
        <w:rPr>
          <w:b/>
          <w:bCs/>
          <w:spacing w:val="-5"/>
          <w:sz w:val="20"/>
        </w:rPr>
        <w:t>ERAGE PWLB RATES FOR 2021/22</w:t>
      </w:r>
    </w:p>
    <w:p w14:paraId="6C673CFE" w14:textId="1522220F" w:rsidR="000850B3" w:rsidRPr="0062396F" w:rsidRDefault="000850B3" w:rsidP="00AF66F2">
      <w:pPr>
        <w:jc w:val="both"/>
        <w:rPr>
          <w:b/>
          <w:color w:val="FF0000"/>
          <w:highlight w:val="yellow"/>
          <w:u w:val="single"/>
        </w:rPr>
      </w:pPr>
      <w:r>
        <w:rPr>
          <w:b/>
          <w:noProof/>
          <w:color w:val="FF0000"/>
          <w:highlight w:val="yellow"/>
          <w:u w:val="single"/>
        </w:rPr>
        <w:lastRenderedPageBreak/>
        <w:drawing>
          <wp:inline distT="0" distB="0" distL="0" distR="0" wp14:anchorId="6FEC4BDF" wp14:editId="7AFD4C0F">
            <wp:extent cx="5518150" cy="1917588"/>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9286" cy="1928408"/>
                    </a:xfrm>
                    <a:prstGeom prst="rect">
                      <a:avLst/>
                    </a:prstGeom>
                    <a:noFill/>
                  </pic:spPr>
                </pic:pic>
              </a:graphicData>
            </a:graphic>
          </wp:inline>
        </w:drawing>
      </w:r>
    </w:p>
    <w:sectPr w:rsidR="000850B3" w:rsidRPr="0062396F" w:rsidSect="00DD6B82">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8FC" w14:textId="77777777" w:rsidR="00D34FF6" w:rsidRDefault="00D34FF6">
      <w:r>
        <w:separator/>
      </w:r>
    </w:p>
  </w:endnote>
  <w:endnote w:type="continuationSeparator" w:id="0">
    <w:p w14:paraId="7E4D2E32" w14:textId="77777777" w:rsidR="00D34FF6" w:rsidRDefault="00D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FC7D" w14:textId="77777777" w:rsidR="00D34FF6" w:rsidRDefault="00D34FF6">
      <w:r>
        <w:separator/>
      </w:r>
    </w:p>
  </w:footnote>
  <w:footnote w:type="continuationSeparator" w:id="0">
    <w:p w14:paraId="11D22CF7" w14:textId="77777777" w:rsidR="00D34FF6" w:rsidRDefault="00D3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8722A"/>
    <w:multiLevelType w:val="hybridMultilevel"/>
    <w:tmpl w:val="28B035D0"/>
    <w:lvl w:ilvl="0" w:tplc="D7F0B542">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01884"/>
    <w:multiLevelType w:val="hybridMultilevel"/>
    <w:tmpl w:val="4B763D4A"/>
    <w:lvl w:ilvl="0" w:tplc="13E80410">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01AF3"/>
    <w:multiLevelType w:val="multilevel"/>
    <w:tmpl w:val="0B02C5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0" w15:restartNumberingAfterBreak="0">
    <w:nsid w:val="4A961E61"/>
    <w:multiLevelType w:val="multilevel"/>
    <w:tmpl w:val="4EA68F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CF2B6E"/>
    <w:multiLevelType w:val="multilevel"/>
    <w:tmpl w:val="CCA8FBE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9030D"/>
    <w:multiLevelType w:val="hybridMultilevel"/>
    <w:tmpl w:val="540A88A6"/>
    <w:lvl w:ilvl="0" w:tplc="186094A8">
      <w:start w:val="1"/>
      <w:numFmt w:val="decimal"/>
      <w:lvlText w:val="7.%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2592C"/>
    <w:multiLevelType w:val="hybridMultilevel"/>
    <w:tmpl w:val="567AE61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1"/>
  </w:num>
  <w:num w:numId="5">
    <w:abstractNumId w:val="8"/>
  </w:num>
  <w:num w:numId="6">
    <w:abstractNumId w:val="28"/>
  </w:num>
  <w:num w:numId="7">
    <w:abstractNumId w:val="19"/>
  </w:num>
  <w:num w:numId="8">
    <w:abstractNumId w:val="29"/>
  </w:num>
  <w:num w:numId="9">
    <w:abstractNumId w:val="12"/>
  </w:num>
  <w:num w:numId="10">
    <w:abstractNumId w:val="42"/>
  </w:num>
  <w:num w:numId="11">
    <w:abstractNumId w:val="35"/>
  </w:num>
  <w:num w:numId="12">
    <w:abstractNumId w:val="13"/>
  </w:num>
  <w:num w:numId="13">
    <w:abstractNumId w:val="18"/>
  </w:num>
  <w:num w:numId="14">
    <w:abstractNumId w:val="32"/>
  </w:num>
  <w:num w:numId="15">
    <w:abstractNumId w:val="25"/>
  </w:num>
  <w:num w:numId="16">
    <w:abstractNumId w:val="3"/>
  </w:num>
  <w:num w:numId="17">
    <w:abstractNumId w:val="9"/>
  </w:num>
  <w:num w:numId="18">
    <w:abstractNumId w:val="36"/>
  </w:num>
  <w:num w:numId="19">
    <w:abstractNumId w:val="33"/>
  </w:num>
  <w:num w:numId="20">
    <w:abstractNumId w:val="41"/>
  </w:num>
  <w:num w:numId="21">
    <w:abstractNumId w:val="14"/>
  </w:num>
  <w:num w:numId="22">
    <w:abstractNumId w:val="38"/>
  </w:num>
  <w:num w:numId="23">
    <w:abstractNumId w:val="37"/>
  </w:num>
  <w:num w:numId="24">
    <w:abstractNumId w:val="40"/>
  </w:num>
  <w:num w:numId="25">
    <w:abstractNumId w:val="21"/>
  </w:num>
  <w:num w:numId="26">
    <w:abstractNumId w:val="7"/>
  </w:num>
  <w:num w:numId="27">
    <w:abstractNumId w:val="6"/>
  </w:num>
  <w:num w:numId="28">
    <w:abstractNumId w:val="5"/>
  </w:num>
  <w:num w:numId="29">
    <w:abstractNumId w:val="11"/>
  </w:num>
  <w:num w:numId="30">
    <w:abstractNumId w:val="43"/>
  </w:num>
  <w:num w:numId="31">
    <w:abstractNumId w:val="4"/>
  </w:num>
  <w:num w:numId="32">
    <w:abstractNumId w:val="24"/>
  </w:num>
  <w:num w:numId="33">
    <w:abstractNumId w:val="23"/>
  </w:num>
  <w:num w:numId="34">
    <w:abstractNumId w:val="34"/>
  </w:num>
  <w:num w:numId="35">
    <w:abstractNumId w:val="39"/>
  </w:num>
  <w:num w:numId="36">
    <w:abstractNumId w:val="1"/>
  </w:num>
  <w:num w:numId="37">
    <w:abstractNumId w:val="10"/>
  </w:num>
  <w:num w:numId="38">
    <w:abstractNumId w:val="22"/>
  </w:num>
  <w:num w:numId="39">
    <w:abstractNumId w:val="2"/>
  </w:num>
  <w:num w:numId="40">
    <w:abstractNumId w:val="17"/>
  </w:num>
  <w:num w:numId="41">
    <w:abstractNumId w:val="27"/>
  </w:num>
  <w:num w:numId="42">
    <w:abstractNumId w:val="20"/>
  </w:num>
  <w:num w:numId="43">
    <w:abstractNumId w:val="30"/>
  </w:num>
  <w:num w:numId="4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286"/>
    <w:rsid w:val="00005744"/>
    <w:rsid w:val="000058C5"/>
    <w:rsid w:val="00005F26"/>
    <w:rsid w:val="00012758"/>
    <w:rsid w:val="00013D39"/>
    <w:rsid w:val="000142E6"/>
    <w:rsid w:val="0001555A"/>
    <w:rsid w:val="000176F7"/>
    <w:rsid w:val="00021610"/>
    <w:rsid w:val="00021CD0"/>
    <w:rsid w:val="00022532"/>
    <w:rsid w:val="00024A5C"/>
    <w:rsid w:val="000279A2"/>
    <w:rsid w:val="00027ED7"/>
    <w:rsid w:val="0003222D"/>
    <w:rsid w:val="00032BAF"/>
    <w:rsid w:val="000358A6"/>
    <w:rsid w:val="00035F2C"/>
    <w:rsid w:val="0003669D"/>
    <w:rsid w:val="00036704"/>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F83"/>
    <w:rsid w:val="00083283"/>
    <w:rsid w:val="000850B3"/>
    <w:rsid w:val="000860A6"/>
    <w:rsid w:val="0008678F"/>
    <w:rsid w:val="000868FB"/>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048D"/>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2ABB"/>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056"/>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3F4C"/>
    <w:rsid w:val="002145D1"/>
    <w:rsid w:val="002149E3"/>
    <w:rsid w:val="00215E8F"/>
    <w:rsid w:val="002209D6"/>
    <w:rsid w:val="00220ABB"/>
    <w:rsid w:val="002213B1"/>
    <w:rsid w:val="00221D9F"/>
    <w:rsid w:val="00224B08"/>
    <w:rsid w:val="00224E19"/>
    <w:rsid w:val="0022747D"/>
    <w:rsid w:val="002306CD"/>
    <w:rsid w:val="00231850"/>
    <w:rsid w:val="002322BB"/>
    <w:rsid w:val="00233A07"/>
    <w:rsid w:val="002368AA"/>
    <w:rsid w:val="0023702C"/>
    <w:rsid w:val="00237943"/>
    <w:rsid w:val="00241CC8"/>
    <w:rsid w:val="00250FEF"/>
    <w:rsid w:val="00251254"/>
    <w:rsid w:val="00253051"/>
    <w:rsid w:val="002548D1"/>
    <w:rsid w:val="0026277B"/>
    <w:rsid w:val="002656C8"/>
    <w:rsid w:val="00271F91"/>
    <w:rsid w:val="0027283B"/>
    <w:rsid w:val="00273559"/>
    <w:rsid w:val="00274392"/>
    <w:rsid w:val="00275FB8"/>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2D87"/>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6EB7"/>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3880"/>
    <w:rsid w:val="003663FE"/>
    <w:rsid w:val="00366E76"/>
    <w:rsid w:val="003678C0"/>
    <w:rsid w:val="0037216F"/>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0682"/>
    <w:rsid w:val="003C0959"/>
    <w:rsid w:val="003C21F4"/>
    <w:rsid w:val="003C4532"/>
    <w:rsid w:val="003C54FD"/>
    <w:rsid w:val="003C68E4"/>
    <w:rsid w:val="003C7A65"/>
    <w:rsid w:val="003D275F"/>
    <w:rsid w:val="003D291D"/>
    <w:rsid w:val="003D2E0C"/>
    <w:rsid w:val="003D4346"/>
    <w:rsid w:val="003D56ED"/>
    <w:rsid w:val="003D7AB8"/>
    <w:rsid w:val="003E2127"/>
    <w:rsid w:val="003E367E"/>
    <w:rsid w:val="003E3ABA"/>
    <w:rsid w:val="003E56AE"/>
    <w:rsid w:val="003F2777"/>
    <w:rsid w:val="003F2C5D"/>
    <w:rsid w:val="003F3AFD"/>
    <w:rsid w:val="003F5D32"/>
    <w:rsid w:val="003F756D"/>
    <w:rsid w:val="003F77BB"/>
    <w:rsid w:val="00400629"/>
    <w:rsid w:val="004029CC"/>
    <w:rsid w:val="00403304"/>
    <w:rsid w:val="004076C8"/>
    <w:rsid w:val="004128EA"/>
    <w:rsid w:val="00413458"/>
    <w:rsid w:val="004147C5"/>
    <w:rsid w:val="004153B6"/>
    <w:rsid w:val="004177DA"/>
    <w:rsid w:val="004207E3"/>
    <w:rsid w:val="00420B96"/>
    <w:rsid w:val="00421A4C"/>
    <w:rsid w:val="0042308A"/>
    <w:rsid w:val="004238C2"/>
    <w:rsid w:val="0042469F"/>
    <w:rsid w:val="00427B10"/>
    <w:rsid w:val="004325F9"/>
    <w:rsid w:val="0043268A"/>
    <w:rsid w:val="00433A35"/>
    <w:rsid w:val="00435B5D"/>
    <w:rsid w:val="004363F7"/>
    <w:rsid w:val="00436A0B"/>
    <w:rsid w:val="004409DB"/>
    <w:rsid w:val="00441967"/>
    <w:rsid w:val="0044525C"/>
    <w:rsid w:val="0044683D"/>
    <w:rsid w:val="00447352"/>
    <w:rsid w:val="00452A3E"/>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471D"/>
    <w:rsid w:val="00494906"/>
    <w:rsid w:val="00495315"/>
    <w:rsid w:val="004962B1"/>
    <w:rsid w:val="0049688D"/>
    <w:rsid w:val="00496F06"/>
    <w:rsid w:val="004A1570"/>
    <w:rsid w:val="004A1914"/>
    <w:rsid w:val="004A1E2D"/>
    <w:rsid w:val="004A72AA"/>
    <w:rsid w:val="004A72C4"/>
    <w:rsid w:val="004B2834"/>
    <w:rsid w:val="004B4A22"/>
    <w:rsid w:val="004C0103"/>
    <w:rsid w:val="004C08EA"/>
    <w:rsid w:val="004C4A75"/>
    <w:rsid w:val="004C5ADB"/>
    <w:rsid w:val="004C5DDA"/>
    <w:rsid w:val="004D2DA0"/>
    <w:rsid w:val="004D700A"/>
    <w:rsid w:val="004E14A4"/>
    <w:rsid w:val="004E16FA"/>
    <w:rsid w:val="004E3365"/>
    <w:rsid w:val="004E3839"/>
    <w:rsid w:val="004E536E"/>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07F19"/>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1A97"/>
    <w:rsid w:val="00552794"/>
    <w:rsid w:val="00555A6E"/>
    <w:rsid w:val="0055673A"/>
    <w:rsid w:val="0055724E"/>
    <w:rsid w:val="0055733D"/>
    <w:rsid w:val="00560DEF"/>
    <w:rsid w:val="00562685"/>
    <w:rsid w:val="0056344D"/>
    <w:rsid w:val="00563F4C"/>
    <w:rsid w:val="005641E0"/>
    <w:rsid w:val="00566489"/>
    <w:rsid w:val="00566F47"/>
    <w:rsid w:val="00567953"/>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738"/>
    <w:rsid w:val="005C295F"/>
    <w:rsid w:val="005C4E87"/>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E2D"/>
    <w:rsid w:val="00675F21"/>
    <w:rsid w:val="00676BE8"/>
    <w:rsid w:val="00677EC3"/>
    <w:rsid w:val="00685880"/>
    <w:rsid w:val="00685F8B"/>
    <w:rsid w:val="006878EF"/>
    <w:rsid w:val="00687CA0"/>
    <w:rsid w:val="00690337"/>
    <w:rsid w:val="00693C15"/>
    <w:rsid w:val="006964E3"/>
    <w:rsid w:val="00696A83"/>
    <w:rsid w:val="0069703C"/>
    <w:rsid w:val="006A200B"/>
    <w:rsid w:val="006A27CD"/>
    <w:rsid w:val="006A506A"/>
    <w:rsid w:val="006B0184"/>
    <w:rsid w:val="006B029B"/>
    <w:rsid w:val="006B1286"/>
    <w:rsid w:val="006B3297"/>
    <w:rsid w:val="006B6BC5"/>
    <w:rsid w:val="006B7DEF"/>
    <w:rsid w:val="006B7F6A"/>
    <w:rsid w:val="006C2A0A"/>
    <w:rsid w:val="006C4484"/>
    <w:rsid w:val="006C580A"/>
    <w:rsid w:val="006C5ED7"/>
    <w:rsid w:val="006C6B72"/>
    <w:rsid w:val="006D1E69"/>
    <w:rsid w:val="006D376F"/>
    <w:rsid w:val="006D3BD9"/>
    <w:rsid w:val="006D627B"/>
    <w:rsid w:val="006D67FB"/>
    <w:rsid w:val="006E20C9"/>
    <w:rsid w:val="006E4E0C"/>
    <w:rsid w:val="006E608B"/>
    <w:rsid w:val="006F057C"/>
    <w:rsid w:val="006F15EC"/>
    <w:rsid w:val="006F1A4C"/>
    <w:rsid w:val="006F22DA"/>
    <w:rsid w:val="006F2EB3"/>
    <w:rsid w:val="006F3BB5"/>
    <w:rsid w:val="006F61E1"/>
    <w:rsid w:val="006F6988"/>
    <w:rsid w:val="00703AC2"/>
    <w:rsid w:val="00703EAC"/>
    <w:rsid w:val="007049C1"/>
    <w:rsid w:val="00705694"/>
    <w:rsid w:val="00707EA4"/>
    <w:rsid w:val="00710E25"/>
    <w:rsid w:val="007116B1"/>
    <w:rsid w:val="007123C2"/>
    <w:rsid w:val="0071318F"/>
    <w:rsid w:val="00714BEE"/>
    <w:rsid w:val="007150B2"/>
    <w:rsid w:val="007163A8"/>
    <w:rsid w:val="00720AC6"/>
    <w:rsid w:val="00721215"/>
    <w:rsid w:val="0072357A"/>
    <w:rsid w:val="0072367F"/>
    <w:rsid w:val="00723BA5"/>
    <w:rsid w:val="00725DAB"/>
    <w:rsid w:val="00731669"/>
    <w:rsid w:val="00731A82"/>
    <w:rsid w:val="007323B9"/>
    <w:rsid w:val="0073378D"/>
    <w:rsid w:val="00734372"/>
    <w:rsid w:val="007347CA"/>
    <w:rsid w:val="00734B67"/>
    <w:rsid w:val="00735827"/>
    <w:rsid w:val="0073664B"/>
    <w:rsid w:val="007371F1"/>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45797"/>
    <w:rsid w:val="00850932"/>
    <w:rsid w:val="0085266D"/>
    <w:rsid w:val="00854BE1"/>
    <w:rsid w:val="00855723"/>
    <w:rsid w:val="008567F1"/>
    <w:rsid w:val="00860FB9"/>
    <w:rsid w:val="00862E6C"/>
    <w:rsid w:val="00866A99"/>
    <w:rsid w:val="00867DDC"/>
    <w:rsid w:val="0087055B"/>
    <w:rsid w:val="008711C4"/>
    <w:rsid w:val="00874D96"/>
    <w:rsid w:val="00876F40"/>
    <w:rsid w:val="00877948"/>
    <w:rsid w:val="00877B4A"/>
    <w:rsid w:val="008816D8"/>
    <w:rsid w:val="00881922"/>
    <w:rsid w:val="008837A9"/>
    <w:rsid w:val="008867EF"/>
    <w:rsid w:val="0089102A"/>
    <w:rsid w:val="00892B68"/>
    <w:rsid w:val="00893DE8"/>
    <w:rsid w:val="008940FC"/>
    <w:rsid w:val="00894C59"/>
    <w:rsid w:val="008977B2"/>
    <w:rsid w:val="008A1A78"/>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3FFB"/>
    <w:rsid w:val="008D6269"/>
    <w:rsid w:val="008D669F"/>
    <w:rsid w:val="008D7EB3"/>
    <w:rsid w:val="008E08C6"/>
    <w:rsid w:val="008E0D0E"/>
    <w:rsid w:val="008E20FC"/>
    <w:rsid w:val="008E224D"/>
    <w:rsid w:val="008E4057"/>
    <w:rsid w:val="008E59B8"/>
    <w:rsid w:val="008E6E10"/>
    <w:rsid w:val="008F076A"/>
    <w:rsid w:val="008F260D"/>
    <w:rsid w:val="008F35E7"/>
    <w:rsid w:val="008F578A"/>
    <w:rsid w:val="008F66EC"/>
    <w:rsid w:val="009037BA"/>
    <w:rsid w:val="009039A9"/>
    <w:rsid w:val="00904514"/>
    <w:rsid w:val="00904C87"/>
    <w:rsid w:val="00906499"/>
    <w:rsid w:val="00911666"/>
    <w:rsid w:val="00913AC0"/>
    <w:rsid w:val="00913D8A"/>
    <w:rsid w:val="00916452"/>
    <w:rsid w:val="009172FA"/>
    <w:rsid w:val="00923DC1"/>
    <w:rsid w:val="009247F9"/>
    <w:rsid w:val="0092530B"/>
    <w:rsid w:val="009272B6"/>
    <w:rsid w:val="00927E8A"/>
    <w:rsid w:val="0093325E"/>
    <w:rsid w:val="009333ED"/>
    <w:rsid w:val="00933B50"/>
    <w:rsid w:val="009340D2"/>
    <w:rsid w:val="00934DB0"/>
    <w:rsid w:val="0093766B"/>
    <w:rsid w:val="00940968"/>
    <w:rsid w:val="0094208C"/>
    <w:rsid w:val="0094235B"/>
    <w:rsid w:val="00942F17"/>
    <w:rsid w:val="009472C5"/>
    <w:rsid w:val="00947577"/>
    <w:rsid w:val="009477E5"/>
    <w:rsid w:val="0095229C"/>
    <w:rsid w:val="009528E2"/>
    <w:rsid w:val="0095290A"/>
    <w:rsid w:val="00952CEF"/>
    <w:rsid w:val="00953A2E"/>
    <w:rsid w:val="00953FAC"/>
    <w:rsid w:val="00954439"/>
    <w:rsid w:val="00954FCF"/>
    <w:rsid w:val="00955421"/>
    <w:rsid w:val="009651DB"/>
    <w:rsid w:val="00966427"/>
    <w:rsid w:val="00974340"/>
    <w:rsid w:val="009776C7"/>
    <w:rsid w:val="009804EF"/>
    <w:rsid w:val="00982248"/>
    <w:rsid w:val="009826C6"/>
    <w:rsid w:val="00983E4B"/>
    <w:rsid w:val="0098530B"/>
    <w:rsid w:val="00986336"/>
    <w:rsid w:val="00987B93"/>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39AF"/>
    <w:rsid w:val="00A05B17"/>
    <w:rsid w:val="00A05F92"/>
    <w:rsid w:val="00A10B01"/>
    <w:rsid w:val="00A124A1"/>
    <w:rsid w:val="00A1258C"/>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2A5"/>
    <w:rsid w:val="00A33509"/>
    <w:rsid w:val="00A33FB5"/>
    <w:rsid w:val="00A344B1"/>
    <w:rsid w:val="00A34A58"/>
    <w:rsid w:val="00A34E3B"/>
    <w:rsid w:val="00A3549A"/>
    <w:rsid w:val="00A35A5E"/>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1332"/>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96C22"/>
    <w:rsid w:val="00BA18FA"/>
    <w:rsid w:val="00BA1B32"/>
    <w:rsid w:val="00BA2A1D"/>
    <w:rsid w:val="00BB25A7"/>
    <w:rsid w:val="00BB4188"/>
    <w:rsid w:val="00BB687F"/>
    <w:rsid w:val="00BB6AD4"/>
    <w:rsid w:val="00BB771D"/>
    <w:rsid w:val="00BC0021"/>
    <w:rsid w:val="00BC05A6"/>
    <w:rsid w:val="00BC0D49"/>
    <w:rsid w:val="00BC0E21"/>
    <w:rsid w:val="00BC1579"/>
    <w:rsid w:val="00BC200E"/>
    <w:rsid w:val="00BC206C"/>
    <w:rsid w:val="00BC3B81"/>
    <w:rsid w:val="00BC3E16"/>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137"/>
    <w:rsid w:val="00C102C7"/>
    <w:rsid w:val="00C1159D"/>
    <w:rsid w:val="00C119A2"/>
    <w:rsid w:val="00C128DD"/>
    <w:rsid w:val="00C13496"/>
    <w:rsid w:val="00C13B1E"/>
    <w:rsid w:val="00C1480B"/>
    <w:rsid w:val="00C17354"/>
    <w:rsid w:val="00C214FF"/>
    <w:rsid w:val="00C21509"/>
    <w:rsid w:val="00C23671"/>
    <w:rsid w:val="00C27838"/>
    <w:rsid w:val="00C320DB"/>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57F30"/>
    <w:rsid w:val="00C607DA"/>
    <w:rsid w:val="00C61021"/>
    <w:rsid w:val="00C61C3A"/>
    <w:rsid w:val="00C61D7F"/>
    <w:rsid w:val="00C6244F"/>
    <w:rsid w:val="00C62B63"/>
    <w:rsid w:val="00C65259"/>
    <w:rsid w:val="00C6595B"/>
    <w:rsid w:val="00C66DF0"/>
    <w:rsid w:val="00C7052B"/>
    <w:rsid w:val="00C72B5B"/>
    <w:rsid w:val="00C742E3"/>
    <w:rsid w:val="00C75068"/>
    <w:rsid w:val="00C75F94"/>
    <w:rsid w:val="00C76F6F"/>
    <w:rsid w:val="00C810A7"/>
    <w:rsid w:val="00C811D6"/>
    <w:rsid w:val="00C81C10"/>
    <w:rsid w:val="00C90473"/>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D88"/>
    <w:rsid w:val="00D01F52"/>
    <w:rsid w:val="00D01FE3"/>
    <w:rsid w:val="00D04F65"/>
    <w:rsid w:val="00D06CA3"/>
    <w:rsid w:val="00D07F46"/>
    <w:rsid w:val="00D122E9"/>
    <w:rsid w:val="00D12DB7"/>
    <w:rsid w:val="00D12E6F"/>
    <w:rsid w:val="00D1552E"/>
    <w:rsid w:val="00D170E5"/>
    <w:rsid w:val="00D207C1"/>
    <w:rsid w:val="00D20B70"/>
    <w:rsid w:val="00D21155"/>
    <w:rsid w:val="00D2600C"/>
    <w:rsid w:val="00D26D87"/>
    <w:rsid w:val="00D27C65"/>
    <w:rsid w:val="00D31229"/>
    <w:rsid w:val="00D3271A"/>
    <w:rsid w:val="00D33134"/>
    <w:rsid w:val="00D34688"/>
    <w:rsid w:val="00D34FF6"/>
    <w:rsid w:val="00D373C8"/>
    <w:rsid w:val="00D37F2F"/>
    <w:rsid w:val="00D40765"/>
    <w:rsid w:val="00D415B9"/>
    <w:rsid w:val="00D461E5"/>
    <w:rsid w:val="00D47C3D"/>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380F"/>
    <w:rsid w:val="00D771D0"/>
    <w:rsid w:val="00D772A3"/>
    <w:rsid w:val="00D835CF"/>
    <w:rsid w:val="00D84C1F"/>
    <w:rsid w:val="00D84D5B"/>
    <w:rsid w:val="00D86FEB"/>
    <w:rsid w:val="00D87B72"/>
    <w:rsid w:val="00D9149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5385"/>
    <w:rsid w:val="00DB60B4"/>
    <w:rsid w:val="00DB648D"/>
    <w:rsid w:val="00DB6AFF"/>
    <w:rsid w:val="00DB6C3D"/>
    <w:rsid w:val="00DB6CE2"/>
    <w:rsid w:val="00DC2B1B"/>
    <w:rsid w:val="00DC5ACF"/>
    <w:rsid w:val="00DC6EA1"/>
    <w:rsid w:val="00DC7888"/>
    <w:rsid w:val="00DC7E71"/>
    <w:rsid w:val="00DC7E7A"/>
    <w:rsid w:val="00DD0399"/>
    <w:rsid w:val="00DD22D7"/>
    <w:rsid w:val="00DD6920"/>
    <w:rsid w:val="00DD6B82"/>
    <w:rsid w:val="00DD7468"/>
    <w:rsid w:val="00DD7DF5"/>
    <w:rsid w:val="00DE25E9"/>
    <w:rsid w:val="00DE3D5E"/>
    <w:rsid w:val="00DE67B7"/>
    <w:rsid w:val="00DE71D3"/>
    <w:rsid w:val="00DE72CF"/>
    <w:rsid w:val="00DE7AFC"/>
    <w:rsid w:val="00DF08A0"/>
    <w:rsid w:val="00DF12E0"/>
    <w:rsid w:val="00DF33F5"/>
    <w:rsid w:val="00DF5888"/>
    <w:rsid w:val="00DF6F73"/>
    <w:rsid w:val="00E0303C"/>
    <w:rsid w:val="00E032C7"/>
    <w:rsid w:val="00E1049C"/>
    <w:rsid w:val="00E12917"/>
    <w:rsid w:val="00E22B25"/>
    <w:rsid w:val="00E2604A"/>
    <w:rsid w:val="00E269CF"/>
    <w:rsid w:val="00E37F2D"/>
    <w:rsid w:val="00E4062A"/>
    <w:rsid w:val="00E41F63"/>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785"/>
    <w:rsid w:val="00E84A9B"/>
    <w:rsid w:val="00E85725"/>
    <w:rsid w:val="00E85E95"/>
    <w:rsid w:val="00E86A02"/>
    <w:rsid w:val="00E91780"/>
    <w:rsid w:val="00E91B67"/>
    <w:rsid w:val="00E9253C"/>
    <w:rsid w:val="00E938FE"/>
    <w:rsid w:val="00E971D9"/>
    <w:rsid w:val="00EA1F45"/>
    <w:rsid w:val="00EA216C"/>
    <w:rsid w:val="00EA30B3"/>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D3EEB"/>
    <w:rsid w:val="00ED4AFD"/>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48C8"/>
    <w:rsid w:val="00F073D2"/>
    <w:rsid w:val="00F10DAD"/>
    <w:rsid w:val="00F11BE9"/>
    <w:rsid w:val="00F12AC4"/>
    <w:rsid w:val="00F15789"/>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5194"/>
    <w:rsid w:val="00F86520"/>
    <w:rsid w:val="00F877DB"/>
    <w:rsid w:val="00F90841"/>
    <w:rsid w:val="00F91AE4"/>
    <w:rsid w:val="00F93C8B"/>
    <w:rsid w:val="00F959DD"/>
    <w:rsid w:val="00F960D5"/>
    <w:rsid w:val="00F960EA"/>
    <w:rsid w:val="00F979D0"/>
    <w:rsid w:val="00FA0A4E"/>
    <w:rsid w:val="00FA0D60"/>
    <w:rsid w:val="00FA1F70"/>
    <w:rsid w:val="00FA3088"/>
    <w:rsid w:val="00FA3AA7"/>
    <w:rsid w:val="00FA4BF4"/>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DD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haron.Daniels@harrow.gov.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2.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12"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2.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5.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6.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4412</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28249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7</cp:revision>
  <cp:lastPrinted>2019-09-02T07:18:00Z</cp:lastPrinted>
  <dcterms:created xsi:type="dcterms:W3CDTF">2022-07-05T09:10:00Z</dcterms:created>
  <dcterms:modified xsi:type="dcterms:W3CDTF">2022-07-06T10:24:00Z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